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80" w:firstLine="522" w:firstLineChars="100"/>
        <w:rPr>
          <w:rFonts w:hint="eastAsia" w:ascii="宋体" w:hAnsi="宋体"/>
          <w:b/>
          <w:sz w:val="52"/>
          <w:szCs w:val="52"/>
        </w:rPr>
      </w:pPr>
    </w:p>
    <w:p>
      <w:pPr>
        <w:ind w:right="280" w:firstLine="522" w:firstLineChars="100"/>
        <w:rPr>
          <w:rFonts w:hint="eastAsia" w:ascii="宋体" w:hAnsi="宋体"/>
          <w:b/>
          <w:sz w:val="52"/>
          <w:szCs w:val="52"/>
        </w:rPr>
      </w:pPr>
      <w:bookmarkStart w:id="0" w:name="OLE_LINK3"/>
      <w:r>
        <w:rPr>
          <w:rFonts w:hint="eastAsia" w:ascii="宋体" w:hAnsi="宋体"/>
          <w:b/>
          <w:sz w:val="52"/>
          <w:szCs w:val="52"/>
        </w:rPr>
        <w:t>中国重汽集团济南专用车有限公司</w:t>
      </w:r>
    </w:p>
    <w:p>
      <w:pPr>
        <w:ind w:right="280"/>
        <w:jc w:val="center"/>
        <w:rPr>
          <w:rFonts w:hint="eastAsia" w:ascii="宋体" w:hAnsi="宋体"/>
          <w:b/>
          <w:sz w:val="52"/>
          <w:szCs w:val="52"/>
        </w:rPr>
      </w:pPr>
      <w:r>
        <w:rPr>
          <w:rFonts w:hint="eastAsia" w:ascii="宋体" w:hAnsi="宋体"/>
          <w:b/>
          <w:sz w:val="52"/>
          <w:szCs w:val="52"/>
        </w:rPr>
        <w:t>新媒体平台直播和短视频运营项目</w:t>
      </w:r>
    </w:p>
    <w:bookmarkEnd w:id="0"/>
    <w:p>
      <w:pPr>
        <w:ind w:right="280"/>
        <w:jc w:val="center"/>
        <w:rPr>
          <w:sz w:val="28"/>
          <w:szCs w:val="28"/>
        </w:rPr>
      </w:pPr>
    </w:p>
    <w:p>
      <w:pPr>
        <w:jc w:val="right"/>
        <w:rPr>
          <w:sz w:val="28"/>
          <w:szCs w:val="28"/>
        </w:rPr>
      </w:pPr>
    </w:p>
    <w:p>
      <w:pPr>
        <w:jc w:val="center"/>
        <w:rPr>
          <w:rFonts w:hint="eastAsia" w:ascii="黑体" w:hAnsi="宋体" w:eastAsia="黑体"/>
          <w:sz w:val="84"/>
          <w:szCs w:val="84"/>
        </w:rPr>
      </w:pPr>
      <w:r>
        <w:rPr>
          <w:rFonts w:hint="eastAsia" w:ascii="黑体" w:hAnsi="宋体" w:eastAsia="黑体"/>
          <w:sz w:val="84"/>
          <w:szCs w:val="84"/>
        </w:rPr>
        <w:t>招</w:t>
      </w:r>
    </w:p>
    <w:p>
      <w:pPr>
        <w:jc w:val="center"/>
        <w:rPr>
          <w:rFonts w:hint="eastAsia" w:ascii="黑体" w:hAnsi="宋体" w:eastAsia="黑体"/>
          <w:sz w:val="84"/>
          <w:szCs w:val="84"/>
        </w:rPr>
      </w:pPr>
    </w:p>
    <w:p>
      <w:pPr>
        <w:jc w:val="center"/>
        <w:rPr>
          <w:rFonts w:hint="eastAsia" w:ascii="黑体" w:hAnsi="宋体" w:eastAsia="黑体"/>
          <w:sz w:val="84"/>
          <w:szCs w:val="84"/>
        </w:rPr>
      </w:pPr>
      <w:r>
        <w:rPr>
          <w:rFonts w:hint="eastAsia" w:ascii="黑体" w:hAnsi="宋体" w:eastAsia="黑体"/>
          <w:sz w:val="84"/>
          <w:szCs w:val="84"/>
        </w:rPr>
        <w:t>标</w:t>
      </w:r>
    </w:p>
    <w:p>
      <w:pPr>
        <w:jc w:val="center"/>
        <w:rPr>
          <w:rFonts w:hint="eastAsia" w:ascii="黑体" w:hAnsi="宋体" w:eastAsia="黑体"/>
          <w:sz w:val="84"/>
          <w:szCs w:val="84"/>
        </w:rPr>
      </w:pPr>
    </w:p>
    <w:p>
      <w:pPr>
        <w:rPr>
          <w:rFonts w:hint="eastAsia" w:ascii="黑体" w:hAnsi="宋体" w:eastAsia="黑体"/>
          <w:sz w:val="84"/>
          <w:szCs w:val="84"/>
        </w:rPr>
      </w:pPr>
    </w:p>
    <w:p>
      <w:pPr>
        <w:jc w:val="center"/>
        <w:rPr>
          <w:rFonts w:hint="eastAsia" w:ascii="宋体" w:hAnsi="宋体"/>
          <w:sz w:val="48"/>
          <w:szCs w:val="48"/>
        </w:rPr>
      </w:pPr>
      <w:r>
        <w:rPr>
          <w:rFonts w:hint="eastAsia" w:ascii="黑体" w:hAnsi="宋体" w:eastAsia="黑体"/>
          <w:sz w:val="84"/>
          <w:szCs w:val="84"/>
        </w:rPr>
        <w:t>书</w:t>
      </w:r>
    </w:p>
    <w:p>
      <w:pPr>
        <w:spacing w:line="480" w:lineRule="auto"/>
        <w:rPr>
          <w:rFonts w:hint="eastAsia" w:ascii="宋体" w:hAnsi="宋体"/>
          <w:b/>
          <w:bCs/>
          <w:sz w:val="48"/>
          <w:szCs w:val="48"/>
        </w:rPr>
      </w:pPr>
    </w:p>
    <w:p>
      <w:pPr>
        <w:ind w:firstLine="1680" w:firstLineChars="600"/>
        <w:rPr>
          <w:rFonts w:hint="eastAsia" w:ascii="宋体" w:hAnsi="宋体"/>
          <w:sz w:val="28"/>
          <w:szCs w:val="28"/>
        </w:rPr>
      </w:pPr>
      <w:r>
        <w:rPr>
          <w:rFonts w:hint="eastAsia" w:ascii="宋体" w:hAnsi="宋体"/>
          <w:sz w:val="28"/>
          <w:szCs w:val="28"/>
        </w:rPr>
        <w:t>招 标 人：中国重汽集团济南专用车有限公司</w:t>
      </w:r>
    </w:p>
    <w:p>
      <w:pPr>
        <w:jc w:val="center"/>
        <w:rPr>
          <w:rFonts w:ascii="黑体" w:eastAsia="黑体"/>
          <w:b/>
          <w:bCs/>
          <w:sz w:val="36"/>
          <w:szCs w:val="36"/>
        </w:rPr>
      </w:pPr>
      <w:r>
        <w:rPr>
          <w:rFonts w:hint="eastAsia" w:ascii="宋体" w:hAnsi="宋体"/>
          <w:sz w:val="28"/>
          <w:szCs w:val="28"/>
        </w:rPr>
        <w:t xml:space="preserve"> 20</w:t>
      </w:r>
      <w:r>
        <w:rPr>
          <w:rFonts w:ascii="宋体" w:hAnsi="宋体"/>
          <w:sz w:val="28"/>
          <w:szCs w:val="28"/>
        </w:rPr>
        <w:t>2</w:t>
      </w:r>
      <w:r>
        <w:rPr>
          <w:rFonts w:hint="eastAsia" w:ascii="宋体" w:hAnsi="宋体"/>
          <w:sz w:val="28"/>
          <w:szCs w:val="28"/>
        </w:rPr>
        <w:t>5年9月</w:t>
      </w:r>
    </w:p>
    <w:p>
      <w:pPr>
        <w:pStyle w:val="6"/>
        <w:spacing w:line="312" w:lineRule="auto"/>
        <w:rPr>
          <w:rFonts w:ascii="黑体" w:eastAsia="黑体"/>
          <w:b/>
          <w:bCs/>
          <w:sz w:val="36"/>
          <w:szCs w:val="36"/>
        </w:rPr>
      </w:pPr>
    </w:p>
    <w:p>
      <w:pPr>
        <w:pStyle w:val="6"/>
        <w:spacing w:line="312" w:lineRule="auto"/>
        <w:rPr>
          <w:rFonts w:ascii="黑体" w:eastAsia="黑体"/>
          <w:b/>
          <w:bCs/>
          <w:sz w:val="36"/>
          <w:szCs w:val="36"/>
        </w:rPr>
      </w:pPr>
      <w:r>
        <w:rPr>
          <w:rFonts w:hint="eastAsia" w:ascii="黑体" w:eastAsia="黑体"/>
          <w:b/>
          <w:bCs/>
          <w:sz w:val="36"/>
          <w:szCs w:val="36"/>
        </w:rPr>
        <w:t>第一章  招标公告</w:t>
      </w:r>
    </w:p>
    <w:p>
      <w:pPr>
        <w:pStyle w:val="6"/>
        <w:spacing w:line="360" w:lineRule="auto"/>
        <w:rPr>
          <w:rFonts w:ascii="黑体" w:eastAsia="黑体"/>
          <w:b/>
          <w:bCs/>
          <w:sz w:val="28"/>
        </w:rPr>
      </w:pPr>
      <w:r>
        <w:rPr>
          <w:rFonts w:hint="eastAsia" w:ascii="黑体" w:eastAsia="黑体"/>
          <w:b/>
          <w:bCs/>
          <w:sz w:val="28"/>
        </w:rPr>
        <w:t>一、项目名称</w:t>
      </w:r>
    </w:p>
    <w:p>
      <w:pPr>
        <w:pStyle w:val="6"/>
        <w:spacing w:line="360" w:lineRule="auto"/>
        <w:ind w:left="420"/>
      </w:pPr>
      <w:r>
        <w:rPr>
          <w:rFonts w:hint="eastAsia"/>
        </w:rPr>
        <w:t>项目名称：</w:t>
      </w:r>
      <w:bookmarkStart w:id="1" w:name="OLE_LINK1"/>
      <w:r>
        <w:rPr>
          <w:rFonts w:hint="eastAsia"/>
        </w:rPr>
        <w:t>中国重汽集团济南专用车有限公司新媒体平台直播和短视频运营项目。</w:t>
      </w:r>
    </w:p>
    <w:bookmarkEnd w:id="1"/>
    <w:p>
      <w:pPr>
        <w:pStyle w:val="6"/>
        <w:spacing w:line="360" w:lineRule="auto"/>
        <w:rPr>
          <w:rFonts w:ascii="黑体" w:eastAsia="黑体"/>
          <w:b/>
          <w:bCs/>
          <w:sz w:val="28"/>
        </w:rPr>
      </w:pPr>
      <w:r>
        <w:rPr>
          <w:rFonts w:hint="eastAsia" w:ascii="黑体" w:eastAsia="黑体"/>
          <w:b/>
          <w:bCs/>
          <w:sz w:val="28"/>
        </w:rPr>
        <w:t>二、招标内容</w:t>
      </w:r>
    </w:p>
    <w:p>
      <w:pPr>
        <w:pStyle w:val="6"/>
        <w:spacing w:line="360" w:lineRule="auto"/>
        <w:ind w:left="420"/>
        <w:rPr>
          <w:rFonts w:hint="eastAsia" w:hAnsi="宋体"/>
          <w:kern w:val="0"/>
          <w:szCs w:val="21"/>
        </w:rPr>
      </w:pPr>
      <w:bookmarkStart w:id="2" w:name="_Hlk60819894"/>
      <w:r>
        <w:rPr>
          <w:rFonts w:hint="eastAsia" w:hAnsi="宋体"/>
          <w:kern w:val="0"/>
          <w:szCs w:val="21"/>
        </w:rPr>
        <w:t>中国重汽集团济南专用车有限公司官方抖音号、快手号、视频号等账号的运营、短视频内容策划制作发布、日常直播、营销线索收集、数据复盘分析等。</w:t>
      </w:r>
    </w:p>
    <w:bookmarkEnd w:id="2"/>
    <w:p>
      <w:pPr>
        <w:pStyle w:val="6"/>
        <w:spacing w:line="360" w:lineRule="auto"/>
        <w:rPr>
          <w:rFonts w:ascii="黑体" w:eastAsia="黑体"/>
          <w:b/>
          <w:bCs/>
          <w:sz w:val="28"/>
        </w:rPr>
      </w:pPr>
      <w:r>
        <w:rPr>
          <w:rFonts w:hint="eastAsia" w:ascii="黑体" w:eastAsia="黑体"/>
          <w:b/>
          <w:bCs/>
          <w:sz w:val="28"/>
        </w:rPr>
        <w:t>三、招标形式</w:t>
      </w:r>
    </w:p>
    <w:p>
      <w:pPr>
        <w:pStyle w:val="6"/>
        <w:spacing w:line="360" w:lineRule="auto"/>
        <w:ind w:firstLine="420" w:firstLineChars="200"/>
      </w:pPr>
      <w:r>
        <w:rPr>
          <w:rFonts w:hint="eastAsia"/>
        </w:rPr>
        <w:t>招标形式：公开招标（线下开标）。</w:t>
      </w:r>
    </w:p>
    <w:p>
      <w:pPr>
        <w:pStyle w:val="6"/>
        <w:spacing w:line="360" w:lineRule="auto"/>
        <w:rPr>
          <w:rFonts w:ascii="黑体" w:eastAsia="黑体"/>
          <w:b/>
          <w:bCs/>
          <w:sz w:val="28"/>
        </w:rPr>
      </w:pPr>
      <w:r>
        <w:rPr>
          <w:rFonts w:hint="eastAsia" w:ascii="黑体" w:eastAsia="黑体"/>
          <w:b/>
          <w:bCs/>
          <w:sz w:val="28"/>
        </w:rPr>
        <w:t>四、议程安排</w:t>
      </w:r>
    </w:p>
    <w:p>
      <w:pPr>
        <w:pStyle w:val="6"/>
        <w:numPr>
          <w:ilvl w:val="0"/>
          <w:numId w:val="3"/>
        </w:numPr>
        <w:spacing w:line="360" w:lineRule="auto"/>
        <w:ind w:left="0" w:firstLine="420"/>
      </w:pPr>
      <w:r>
        <w:rPr>
          <w:rFonts w:hint="eastAsia"/>
        </w:rPr>
        <w:t>公告时间：20</w:t>
      </w:r>
      <w:r>
        <w:t>2</w:t>
      </w:r>
      <w:r>
        <w:rPr>
          <w:rFonts w:hint="eastAsia"/>
        </w:rPr>
        <w:t>5年</w:t>
      </w:r>
      <w:r>
        <w:rPr>
          <w:rFonts w:hint="eastAsia"/>
          <w:lang w:val="en-US" w:eastAsia="zh-CN"/>
        </w:rPr>
        <w:t>9</w:t>
      </w:r>
      <w:r>
        <w:rPr>
          <w:rFonts w:hint="eastAsia"/>
        </w:rPr>
        <w:t>月</w:t>
      </w:r>
      <w:r>
        <w:rPr>
          <w:rFonts w:hint="eastAsia"/>
          <w:lang w:val="en-US" w:eastAsia="zh-CN"/>
        </w:rPr>
        <w:t>4</w:t>
      </w:r>
      <w:r>
        <w:rPr>
          <w:rFonts w:hint="eastAsia"/>
        </w:rPr>
        <w:t>日（若有调整请以实际为准）。</w:t>
      </w:r>
    </w:p>
    <w:p>
      <w:pPr>
        <w:pStyle w:val="6"/>
        <w:numPr>
          <w:ilvl w:val="0"/>
          <w:numId w:val="3"/>
        </w:numPr>
        <w:spacing w:line="360" w:lineRule="auto"/>
        <w:ind w:left="0" w:firstLine="420"/>
      </w:pPr>
      <w:r>
        <w:rPr>
          <w:rFonts w:hint="eastAsia"/>
        </w:rPr>
        <w:t>答疑时间：截止至20</w:t>
      </w:r>
      <w:r>
        <w:t>2</w:t>
      </w:r>
      <w:r>
        <w:rPr>
          <w:rFonts w:hint="eastAsia"/>
        </w:rPr>
        <w:t>5年</w:t>
      </w:r>
      <w:r>
        <w:rPr>
          <w:rFonts w:hint="eastAsia"/>
          <w:lang w:val="en-US" w:eastAsia="zh-CN"/>
        </w:rPr>
        <w:t>9</w:t>
      </w:r>
      <w:r>
        <w:rPr>
          <w:rFonts w:hint="eastAsia"/>
        </w:rPr>
        <w:t>月</w:t>
      </w:r>
      <w:r>
        <w:rPr>
          <w:rFonts w:hint="eastAsia"/>
          <w:lang w:val="en-US" w:eastAsia="zh-CN"/>
        </w:rPr>
        <w:t>12</w:t>
      </w:r>
      <w:r>
        <w:rPr>
          <w:rFonts w:hint="eastAsia"/>
        </w:rPr>
        <w:t>日15点前（若有调整请以实际为准）。</w:t>
      </w:r>
    </w:p>
    <w:p>
      <w:pPr>
        <w:pStyle w:val="6"/>
        <w:numPr>
          <w:ilvl w:val="0"/>
          <w:numId w:val="3"/>
        </w:numPr>
        <w:spacing w:line="360" w:lineRule="auto"/>
        <w:ind w:left="0" w:firstLine="420"/>
        <w:rPr>
          <w:color w:val="000000" w:themeColor="text1"/>
          <w14:textFill>
            <w14:solidFill>
              <w14:schemeClr w14:val="tx1"/>
            </w14:solidFill>
          </w14:textFill>
        </w:rPr>
      </w:pPr>
      <w:r>
        <w:rPr>
          <w:rFonts w:hint="eastAsia"/>
        </w:rPr>
        <w:t>答疑方式：书面答疑。请投标人在规定时间内将答疑内容扫描件发送至邮箱：</w:t>
      </w:r>
      <w:r>
        <w:fldChar w:fldCharType="begin"/>
      </w:r>
      <w:r>
        <w:instrText xml:space="preserve"> HYPERLINK "mailto:pangyan@sinotruk.com，招标人看到后第一时间进行回复。" </w:instrText>
      </w:r>
      <w:r>
        <w:fldChar w:fldCharType="separate"/>
      </w:r>
      <w:r>
        <w:rPr>
          <w:rFonts w:hint="eastAsia"/>
          <w:color w:val="000000" w:themeColor="text1"/>
          <w14:textFill>
            <w14:solidFill>
              <w14:schemeClr w14:val="tx1"/>
            </w14:solidFill>
          </w14:textFill>
        </w:rPr>
        <w:t>itjy102</w:t>
      </w:r>
      <w:r>
        <w:rPr>
          <w:rStyle w:val="14"/>
          <w:rFonts w:hint="eastAsia"/>
          <w:color w:val="000000" w:themeColor="text1"/>
          <w14:textFill>
            <w14:solidFill>
              <w14:schemeClr w14:val="tx1"/>
            </w14:solidFill>
          </w14:textFill>
        </w:rPr>
        <w:t>@126.com，招标人看到后第一时间进行回复。</w:t>
      </w:r>
      <w:r>
        <w:rPr>
          <w:rStyle w:val="14"/>
          <w:rFonts w:hint="eastAsia"/>
          <w:color w:val="000000" w:themeColor="text1"/>
          <w14:textFill>
            <w14:solidFill>
              <w14:schemeClr w14:val="tx1"/>
            </w14:solidFill>
          </w14:textFill>
        </w:rPr>
        <w:fldChar w:fldCharType="end"/>
      </w:r>
    </w:p>
    <w:p>
      <w:pPr>
        <w:pStyle w:val="6"/>
        <w:numPr>
          <w:ilvl w:val="0"/>
          <w:numId w:val="3"/>
        </w:numPr>
        <w:spacing w:line="360" w:lineRule="auto"/>
        <w:ind w:left="0" w:firstLine="420"/>
        <w:rPr>
          <w:color w:val="000000" w:themeColor="text1"/>
          <w14:textFill>
            <w14:solidFill>
              <w14:schemeClr w14:val="tx1"/>
            </w14:solidFill>
          </w14:textFill>
        </w:rPr>
      </w:pPr>
      <w:r>
        <w:rPr>
          <w:rStyle w:val="14"/>
          <w:rFonts w:hint="eastAsia"/>
          <w:color w:val="000000" w:themeColor="text1"/>
          <w14:textFill>
            <w14:solidFill>
              <w14:schemeClr w14:val="tx1"/>
            </w14:solidFill>
          </w14:textFill>
        </w:rPr>
        <w:t>招标文件递送时间：</w:t>
      </w:r>
      <w:r>
        <w:rPr>
          <w:rFonts w:hint="eastAsia"/>
        </w:rPr>
        <w:t>2025年</w:t>
      </w:r>
      <w:r>
        <w:rPr>
          <w:rFonts w:hint="eastAsia"/>
          <w:lang w:val="en-US" w:eastAsia="zh-CN"/>
        </w:rPr>
        <w:t>9</w:t>
      </w:r>
      <w:r>
        <w:rPr>
          <w:rFonts w:hint="eastAsia"/>
        </w:rPr>
        <w:t>月</w:t>
      </w:r>
      <w:r>
        <w:rPr>
          <w:rFonts w:hint="eastAsia"/>
          <w:lang w:val="en-US" w:eastAsia="zh-CN"/>
        </w:rPr>
        <w:t>16</w:t>
      </w:r>
      <w:r>
        <w:rPr>
          <w:rFonts w:hint="eastAsia"/>
        </w:rPr>
        <w:t>日</w:t>
      </w:r>
      <w:r>
        <w:rPr>
          <w:rStyle w:val="14"/>
          <w:rFonts w:hint="eastAsia"/>
          <w:color w:val="000000" w:themeColor="text1"/>
          <w14:textFill>
            <w14:solidFill>
              <w14:schemeClr w14:val="tx1"/>
            </w14:solidFill>
          </w14:textFill>
        </w:rPr>
        <w:t>8：30-9：10时</w:t>
      </w:r>
      <w:r>
        <w:rPr>
          <w:rFonts w:hint="eastAsia"/>
          <w:bCs/>
        </w:rPr>
        <w:t>（若有变动另行通知）</w:t>
      </w:r>
      <w:r>
        <w:rPr>
          <w:rStyle w:val="14"/>
          <w:rFonts w:hint="eastAsia"/>
          <w:color w:val="000000" w:themeColor="text1"/>
          <w14:textFill>
            <w14:solidFill>
              <w14:schemeClr w14:val="tx1"/>
            </w14:solidFill>
          </w14:textFill>
        </w:rPr>
        <w:t>，现场递交。</w:t>
      </w:r>
    </w:p>
    <w:p>
      <w:pPr>
        <w:pStyle w:val="6"/>
        <w:numPr>
          <w:ilvl w:val="0"/>
          <w:numId w:val="3"/>
        </w:numPr>
        <w:spacing w:line="360" w:lineRule="auto"/>
        <w:ind w:left="0" w:firstLine="420"/>
      </w:pPr>
      <w:r>
        <w:rPr>
          <w:rFonts w:hint="eastAsia"/>
        </w:rPr>
        <w:t>开标时间：20</w:t>
      </w:r>
      <w:r>
        <w:t>2</w:t>
      </w:r>
      <w:r>
        <w:rPr>
          <w:rFonts w:hint="eastAsia"/>
        </w:rPr>
        <w:t>5年</w:t>
      </w:r>
      <w:r>
        <w:rPr>
          <w:rFonts w:hint="eastAsia"/>
          <w:lang w:val="en-US" w:eastAsia="zh-CN"/>
        </w:rPr>
        <w:t>9</w:t>
      </w:r>
      <w:r>
        <w:rPr>
          <w:rFonts w:hint="eastAsia"/>
        </w:rPr>
        <w:t>月</w:t>
      </w:r>
      <w:r>
        <w:rPr>
          <w:rFonts w:hint="eastAsia"/>
          <w:lang w:val="en-US" w:eastAsia="zh-CN"/>
        </w:rPr>
        <w:t>16</w:t>
      </w:r>
      <w:r>
        <w:rPr>
          <w:rFonts w:hint="eastAsia"/>
        </w:rPr>
        <w:t>日</w:t>
      </w:r>
      <w:r>
        <w:rPr>
          <w:rFonts w:hint="eastAsia"/>
          <w:bCs/>
        </w:rPr>
        <w:t>9:30时（若有变动另行通知）。</w:t>
      </w:r>
    </w:p>
    <w:p>
      <w:pPr>
        <w:pStyle w:val="6"/>
        <w:numPr>
          <w:ilvl w:val="0"/>
          <w:numId w:val="3"/>
        </w:numPr>
        <w:spacing w:line="360" w:lineRule="auto"/>
        <w:ind w:left="0" w:firstLine="420"/>
      </w:pPr>
      <w:r>
        <w:rPr>
          <w:rFonts w:hint="eastAsia"/>
        </w:rPr>
        <w:t>投标地点：山东省济南市章丘区潘王路17668号，具体会议室（或会议号）另行通知。</w:t>
      </w:r>
    </w:p>
    <w:p>
      <w:pPr>
        <w:pStyle w:val="6"/>
        <w:spacing w:line="360" w:lineRule="auto"/>
        <w:ind w:left="420" w:firstLine="420" w:firstLineChars="200"/>
      </w:pPr>
      <w:r>
        <w:rPr>
          <w:rFonts w:hint="eastAsia"/>
        </w:rPr>
        <w:t>联系人：姜经理  联系电话：18233562233</w:t>
      </w:r>
    </w:p>
    <w:p>
      <w:pPr>
        <w:pStyle w:val="6"/>
        <w:spacing w:line="360" w:lineRule="auto"/>
        <w:rPr>
          <w:rFonts w:ascii="黑体" w:eastAsia="黑体"/>
          <w:b/>
          <w:bCs/>
          <w:sz w:val="28"/>
        </w:rPr>
      </w:pPr>
      <w:r>
        <w:rPr>
          <w:rFonts w:hint="eastAsia" w:ascii="黑体" w:eastAsia="黑体"/>
          <w:b/>
          <w:bCs/>
          <w:sz w:val="28"/>
        </w:rPr>
        <w:t>五、投标须知</w:t>
      </w:r>
    </w:p>
    <w:p>
      <w:pPr>
        <w:pStyle w:val="6"/>
        <w:numPr>
          <w:ilvl w:val="0"/>
          <w:numId w:val="4"/>
        </w:numPr>
        <w:spacing w:line="360" w:lineRule="auto"/>
        <w:ind w:left="0" w:firstLine="420" w:firstLineChars="200"/>
      </w:pPr>
      <w:r>
        <w:rPr>
          <w:rFonts w:hint="eastAsia"/>
        </w:rPr>
        <w:t>投标人须遵守《中华人民共和国招标投标法》、《中华人民共和国民法典》及其它有关的法律和法规；为中华人民共和国境内注册的独立法人机构，具有独立承担民事责任能力。公司成立三年以上（以营业执照成立日期到开标当日满三年为准），注册资金</w:t>
      </w:r>
      <w:r>
        <w:rPr>
          <w:rFonts w:hint="eastAsia"/>
          <w:color w:val="000000" w:themeColor="text1"/>
          <w14:textFill>
            <w14:solidFill>
              <w14:schemeClr w14:val="tx1"/>
            </w14:solidFill>
          </w14:textFill>
        </w:rPr>
        <w:t>不低于100万；</w:t>
      </w:r>
      <w:r>
        <w:rPr>
          <w:rFonts w:hint="eastAsia"/>
        </w:rPr>
        <w:t>公司需为一般纳税人资格，经营范围满足招标项目需求；投标人须提供具有统一社会信用代码的三证合一的营业执照副本</w:t>
      </w:r>
      <w:r>
        <w:rPr>
          <w:rFonts w:hint="eastAsia"/>
          <w:b/>
        </w:rPr>
        <w:t>原件</w:t>
      </w:r>
      <w:r>
        <w:rPr>
          <w:rFonts w:hint="eastAsia"/>
        </w:rPr>
        <w:t>及复印件（加盖公章）</w:t>
      </w:r>
      <w:r>
        <w:rPr>
          <w:rFonts w:hint="eastAsia"/>
          <w:szCs w:val="21"/>
        </w:rPr>
        <w:t>。</w:t>
      </w:r>
    </w:p>
    <w:p>
      <w:pPr>
        <w:pStyle w:val="6"/>
        <w:numPr>
          <w:ilvl w:val="0"/>
          <w:numId w:val="4"/>
        </w:numPr>
        <w:spacing w:line="360" w:lineRule="auto"/>
        <w:ind w:left="0" w:firstLine="420" w:firstLineChars="200"/>
      </w:pPr>
      <w:r>
        <w:rPr>
          <w:rFonts w:hint="eastAsia"/>
        </w:rPr>
        <w:t>投标人须提供法人授权委托书</w:t>
      </w:r>
      <w:r>
        <w:rPr>
          <w:rFonts w:hint="eastAsia"/>
          <w:b/>
        </w:rPr>
        <w:t>原件</w:t>
      </w:r>
      <w:r>
        <w:rPr>
          <w:rFonts w:hint="eastAsia"/>
        </w:rPr>
        <w:t>（在投标文件副本中可用复印件）及投标人的法定代表人或授权代表的身份证</w:t>
      </w:r>
      <w:r>
        <w:rPr>
          <w:rFonts w:hint="eastAsia"/>
          <w:b/>
        </w:rPr>
        <w:t>原件</w:t>
      </w:r>
      <w:r>
        <w:rPr>
          <w:rFonts w:hint="eastAsia"/>
        </w:rPr>
        <w:t>及复印件（加盖公章），法人到场的，出具法定代表人资格证明文件。</w:t>
      </w:r>
    </w:p>
    <w:p>
      <w:pPr>
        <w:pStyle w:val="6"/>
        <w:numPr>
          <w:ilvl w:val="0"/>
          <w:numId w:val="4"/>
        </w:numPr>
        <w:spacing w:line="360" w:lineRule="auto"/>
        <w:ind w:left="0" w:firstLine="420" w:firstLineChars="200"/>
      </w:pPr>
      <w:r>
        <w:rPr>
          <w:rFonts w:hint="eastAsia"/>
        </w:rPr>
        <w:t>具有健全的财务会计制度，财务状况和市场行为良好，投标人三年内无违法及重大违规情况。没有处于被有权机关吊销营业执照、吊销资质、停业整顿、取消投标资格以及财产被接管、冻结或进入破产程序等。</w:t>
      </w:r>
    </w:p>
    <w:p>
      <w:pPr>
        <w:pStyle w:val="6"/>
        <w:numPr>
          <w:ilvl w:val="0"/>
          <w:numId w:val="4"/>
        </w:numPr>
        <w:spacing w:line="360" w:lineRule="auto"/>
        <w:ind w:left="0" w:firstLine="420" w:firstLineChars="200"/>
      </w:pP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失信行为）的证明原件。</w:t>
      </w:r>
    </w:p>
    <w:p>
      <w:pPr>
        <w:pStyle w:val="6"/>
        <w:numPr>
          <w:ilvl w:val="0"/>
          <w:numId w:val="4"/>
        </w:numPr>
        <w:spacing w:line="360" w:lineRule="auto"/>
        <w:ind w:left="0" w:firstLine="420" w:firstLineChars="200"/>
      </w:pPr>
      <w:r>
        <w:rPr>
          <w:rFonts w:hint="eastAsia" w:hAnsi="宋体" w:cs="宋体"/>
          <w:color w:val="000000"/>
          <w:szCs w:val="21"/>
        </w:rPr>
        <w:t>投标人提供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企业最近半年完税证明、信用证明材料（中国人民银行信用代码证+征信报告）。年度纳税信用评价信息（可从电子税务局查询截图，需加盖公章）。企业对外担保说明（写明贵单位对外有无对外担保和质押业务，需加盖公章）。</w:t>
      </w:r>
    </w:p>
    <w:p>
      <w:pPr>
        <w:pStyle w:val="6"/>
        <w:numPr>
          <w:ilvl w:val="0"/>
          <w:numId w:val="4"/>
        </w:numPr>
        <w:spacing w:line="360" w:lineRule="auto"/>
        <w:ind w:left="0" w:firstLine="420" w:firstLineChars="200"/>
      </w:pPr>
      <w:r>
        <w:rPr>
          <w:rFonts w:hint="eastAsia" w:hAnsi="宋体"/>
        </w:rPr>
        <w:t>投标人一旦参与投标，无论是否中标、是否签署合同，对获得的招标人商业信息（包括但不限于文字、图形、logo、商标、技术等所有信息资料）均不会用于本次投标项目以外事项，否则自愿承担一切责任。</w:t>
      </w:r>
    </w:p>
    <w:p>
      <w:pPr>
        <w:pStyle w:val="6"/>
        <w:numPr>
          <w:ilvl w:val="0"/>
          <w:numId w:val="4"/>
        </w:numPr>
        <w:spacing w:line="360" w:lineRule="auto"/>
        <w:ind w:left="0" w:firstLine="420" w:firstLineChars="200"/>
        <w:rPr>
          <w:rFonts w:hint="eastAsia" w:hAnsi="宋体"/>
        </w:rPr>
      </w:pPr>
      <w:r>
        <w:rPr>
          <w:rFonts w:hint="eastAsia" w:hAnsi="宋体"/>
        </w:rPr>
        <w:t>中标的投标人严禁</w:t>
      </w:r>
      <w:r>
        <w:rPr>
          <w:rFonts w:hint="eastAsia" w:hAnsi="宋体" w:cs="宋体"/>
        </w:rPr>
        <w:t>弃标，</w:t>
      </w:r>
      <w:r>
        <w:rPr>
          <w:rFonts w:hint="eastAsia" w:hAnsi="宋体" w:cs="宋体"/>
          <w:u w:color="000000"/>
          <w:lang w:val="zh-TW"/>
        </w:rPr>
        <w:t>弃标单位将进入中国重汽集团《违约单位名录》</w:t>
      </w:r>
      <w:r>
        <w:rPr>
          <w:rFonts w:hint="eastAsia" w:hAnsi="宋体" w:cs="宋体"/>
          <w:u w:color="000000"/>
        </w:rPr>
        <w:t>,</w:t>
      </w:r>
      <w:r>
        <w:rPr>
          <w:rFonts w:hint="eastAsia" w:hAnsi="宋体" w:cs="宋体"/>
          <w:u w:color="000000"/>
          <w:lang w:val="zh-TW"/>
        </w:rPr>
        <w:t>禁止其参加中国重汽集团系统内所有单位招标</w:t>
      </w:r>
      <w:r>
        <w:rPr>
          <w:rFonts w:hint="eastAsia" w:hAnsi="宋体"/>
        </w:rPr>
        <w:t>。</w:t>
      </w:r>
    </w:p>
    <w:p>
      <w:pPr>
        <w:pStyle w:val="6"/>
        <w:numPr>
          <w:ilvl w:val="0"/>
          <w:numId w:val="4"/>
        </w:numPr>
        <w:spacing w:line="360" w:lineRule="auto"/>
        <w:ind w:left="0" w:firstLine="420"/>
      </w:pPr>
      <w:r>
        <w:rPr>
          <w:rFonts w:hint="eastAsia"/>
        </w:rPr>
        <w:t>投标人须认可招标人的工作指令，包括节、假日能正常开展工作的要求。</w:t>
      </w:r>
    </w:p>
    <w:p>
      <w:pPr>
        <w:pStyle w:val="6"/>
        <w:numPr>
          <w:ilvl w:val="0"/>
          <w:numId w:val="4"/>
        </w:numPr>
        <w:spacing w:line="360" w:lineRule="auto"/>
        <w:ind w:left="0" w:firstLine="420"/>
      </w:pPr>
      <w:r>
        <w:rPr>
          <w:rFonts w:hint="eastAsia"/>
        </w:rPr>
        <w:t>投标人须认可招标人终止合同后2个月退还履约保证金的招标要求。</w:t>
      </w:r>
    </w:p>
    <w:p>
      <w:pPr>
        <w:pStyle w:val="6"/>
        <w:numPr>
          <w:ilvl w:val="0"/>
          <w:numId w:val="4"/>
        </w:numPr>
        <w:spacing w:line="360" w:lineRule="auto"/>
        <w:ind w:left="0" w:firstLine="420"/>
      </w:pPr>
      <w:r>
        <w:rPr>
          <w:rFonts w:hint="eastAsia"/>
        </w:rPr>
        <w:t>无论投标结果如何，投标人应承担编制投标文件、递交投标文件、考察等所涉及的一切费用。</w:t>
      </w:r>
    </w:p>
    <w:p>
      <w:pPr>
        <w:pStyle w:val="6"/>
        <w:numPr>
          <w:ilvl w:val="0"/>
          <w:numId w:val="4"/>
        </w:numPr>
        <w:spacing w:line="360" w:lineRule="auto"/>
        <w:ind w:hanging="5"/>
      </w:pPr>
      <w:r>
        <w:rPr>
          <w:rFonts w:hint="eastAsia"/>
        </w:rPr>
        <w:t>招标人对未中标者不作任何解释。</w:t>
      </w:r>
    </w:p>
    <w:p>
      <w:pPr>
        <w:pStyle w:val="6"/>
        <w:numPr>
          <w:ilvl w:val="0"/>
          <w:numId w:val="4"/>
        </w:numPr>
        <w:spacing w:line="360" w:lineRule="auto"/>
        <w:ind w:hanging="5"/>
      </w:pPr>
      <w:r>
        <w:rPr>
          <w:rFonts w:hint="eastAsia" w:hAnsi="宋体"/>
        </w:rPr>
        <w:t>本次招标项目不接受联合体投标。</w:t>
      </w:r>
    </w:p>
    <w:p>
      <w:pPr>
        <w:pStyle w:val="6"/>
        <w:numPr>
          <w:ilvl w:val="0"/>
          <w:numId w:val="4"/>
        </w:numPr>
        <w:spacing w:line="360" w:lineRule="auto"/>
        <w:ind w:hanging="5"/>
      </w:pPr>
      <w:r>
        <w:rPr>
          <w:rFonts w:hint="eastAsia"/>
        </w:rPr>
        <w:t>逾期的投标文件招标人不予受理。</w:t>
      </w:r>
    </w:p>
    <w:p>
      <w:pPr>
        <w:pStyle w:val="6"/>
        <w:spacing w:line="360" w:lineRule="auto"/>
        <w:rPr>
          <w:rFonts w:hint="eastAsia" w:ascii="黑体" w:hAnsi="黑体" w:eastAsia="黑体" w:cs="黑体"/>
          <w:b/>
          <w:bCs/>
          <w:sz w:val="28"/>
          <w:szCs w:val="28"/>
        </w:rPr>
      </w:pPr>
      <w:r>
        <w:rPr>
          <w:rFonts w:hint="eastAsia" w:ascii="黑体" w:hAnsi="黑体" w:eastAsia="黑体" w:cs="黑体"/>
          <w:b/>
          <w:bCs/>
          <w:sz w:val="28"/>
          <w:szCs w:val="28"/>
        </w:rPr>
        <w:t>六、报名及招标文件的获取</w:t>
      </w:r>
    </w:p>
    <w:p>
      <w:pPr>
        <w:pStyle w:val="6"/>
        <w:spacing w:line="360" w:lineRule="auto"/>
        <w:ind w:firstLine="420" w:firstLineChars="200"/>
      </w:pPr>
      <w:r>
        <w:rPr>
          <w:rFonts w:hint="eastAsia"/>
        </w:rPr>
        <w:t>参加投标者，请于2025年</w:t>
      </w:r>
      <w:r>
        <w:rPr>
          <w:rFonts w:hint="eastAsia"/>
          <w:lang w:val="en-US" w:eastAsia="zh-CN"/>
        </w:rPr>
        <w:t>9</w:t>
      </w:r>
      <w:r>
        <w:rPr>
          <w:rFonts w:hint="eastAsia"/>
        </w:rPr>
        <w:t>月</w:t>
      </w:r>
      <w:r>
        <w:rPr>
          <w:rFonts w:hint="eastAsia"/>
          <w:lang w:val="en-US" w:eastAsia="zh-CN"/>
        </w:rPr>
        <w:t>10</w:t>
      </w:r>
      <w:r>
        <w:rPr>
          <w:rFonts w:hint="eastAsia"/>
        </w:rPr>
        <w:t>日下午17:00前，按照6.1-6.6顺序及所列项相关资料的原件加盖公章后，扫描为电子版，要求每个同类别文件单独扫描成页，禁止不同类别多页合并联接扫描，扫描文件必须清晰可辨，否则影响报名的审核，扫描文件格式为pdf格式，禁止采用压缩文件格式或图片格式，所有扫描文件都打包到1个pdf文档并设置目录发送到邮箱</w:t>
      </w:r>
      <w:r>
        <w:rPr>
          <w:rFonts w:hint="eastAsia"/>
          <w:color w:val="000000" w:themeColor="text1"/>
          <w14:textFill>
            <w14:solidFill>
              <w14:schemeClr w14:val="tx1"/>
            </w14:solidFill>
          </w14:textFill>
        </w:rPr>
        <w:t>itjy102</w:t>
      </w:r>
      <w:r>
        <w:rPr>
          <w:rStyle w:val="14"/>
          <w:rFonts w:hint="eastAsia"/>
          <w:color w:val="000000" w:themeColor="text1"/>
          <w14:textFill>
            <w14:solidFill>
              <w14:schemeClr w14:val="tx1"/>
            </w14:solidFill>
          </w14:textFill>
        </w:rPr>
        <w:t>@126.com</w:t>
      </w:r>
      <w:r>
        <w:rPr>
          <w:rFonts w:hint="eastAsia"/>
        </w:rPr>
        <w:t>里，邮件名格式为：XXX公司（五个字以内公司简称）XX项目报名资料。电话联系工作人员查收（姓名：姜经理；联系方式：18233562233），同时必须在邮件中以文字方式提供投标单位全称、投标授权人姓名、联系方式（固定电话、手机、电子邮箱）。</w:t>
      </w:r>
    </w:p>
    <w:p>
      <w:pPr>
        <w:pStyle w:val="6"/>
        <w:spacing w:line="360" w:lineRule="auto"/>
      </w:pPr>
      <w:r>
        <w:rPr>
          <w:rFonts w:hint="eastAsia"/>
        </w:rPr>
        <w:t>6.1投标人报名表；</w:t>
      </w:r>
    </w:p>
    <w:p>
      <w:pPr>
        <w:pStyle w:val="6"/>
        <w:spacing w:line="360" w:lineRule="auto"/>
      </w:pPr>
      <w:r>
        <w:rPr>
          <w:rFonts w:hint="eastAsia"/>
        </w:rPr>
        <w:t>6.2营业执照副本；</w:t>
      </w:r>
    </w:p>
    <w:p>
      <w:pPr>
        <w:pStyle w:val="6"/>
        <w:spacing w:line="360" w:lineRule="auto"/>
      </w:pPr>
      <w:r>
        <w:rPr>
          <w:rFonts w:hint="eastAsia"/>
        </w:rPr>
        <w:t>6.3投标单位基本情况表；（附件3）</w:t>
      </w:r>
    </w:p>
    <w:p>
      <w:pPr>
        <w:pStyle w:val="6"/>
        <w:spacing w:line="360" w:lineRule="auto"/>
      </w:pPr>
      <w:r>
        <w:rPr>
          <w:rFonts w:hint="eastAsia"/>
        </w:rPr>
        <w:t>6.4资质证书：经营范围符合本次招标方所需招标设备资质要求；</w:t>
      </w:r>
    </w:p>
    <w:p>
      <w:pPr>
        <w:pStyle w:val="6"/>
        <w:spacing w:line="360" w:lineRule="auto"/>
      </w:pPr>
      <w:r>
        <w:rPr>
          <w:rFonts w:hint="eastAsia"/>
        </w:rPr>
        <w:t>6.5信用中国截图（报名日期前5日内“信用中国”网站(www.creditchina.gov.cn）</w:t>
      </w:r>
    </w:p>
    <w:p>
      <w:pPr>
        <w:pStyle w:val="6"/>
        <w:spacing w:line="360" w:lineRule="auto"/>
      </w:pPr>
      <w:r>
        <w:rPr>
          <w:rFonts w:hint="eastAsia"/>
        </w:rPr>
        <w:t>查询本单位未被列入联合惩戒失信人名单的网页截图）；</w:t>
      </w:r>
    </w:p>
    <w:p>
      <w:pPr>
        <w:pStyle w:val="6"/>
        <w:spacing w:line="360" w:lineRule="auto"/>
      </w:pPr>
      <w:r>
        <w:rPr>
          <w:rFonts w:hint="eastAsia"/>
        </w:rPr>
        <w:t>6.6投标保证金电汇或网银的底联。</w:t>
      </w:r>
    </w:p>
    <w:p>
      <w:pPr>
        <w:pStyle w:val="6"/>
        <w:spacing w:line="360" w:lineRule="auto"/>
      </w:pPr>
      <w:r>
        <w:rPr>
          <w:rFonts w:hint="eastAsia"/>
        </w:rPr>
        <w:t>本项目实行资格预审，报名成功不代表资格审查通过，以最终通过资格审查委员会的审查</w:t>
      </w:r>
    </w:p>
    <w:p>
      <w:pPr>
        <w:pStyle w:val="6"/>
        <w:spacing w:line="360" w:lineRule="auto"/>
      </w:pPr>
      <w:r>
        <w:rPr>
          <w:rFonts w:hint="eastAsia"/>
        </w:rPr>
        <w:t>为准。</w:t>
      </w:r>
    </w:p>
    <w:p>
      <w:pPr>
        <w:pStyle w:val="6"/>
        <w:spacing w:line="360" w:lineRule="auto"/>
        <w:rPr>
          <w:rFonts w:hint="eastAsia" w:ascii="黑体" w:hAnsi="黑体" w:eastAsia="黑体" w:cs="黑体"/>
          <w:b/>
          <w:bCs/>
          <w:sz w:val="28"/>
          <w:szCs w:val="28"/>
        </w:rPr>
      </w:pPr>
      <w:r>
        <w:rPr>
          <w:rFonts w:hint="eastAsia" w:ascii="黑体" w:hAnsi="黑体" w:eastAsia="黑体" w:cs="黑体"/>
          <w:b/>
          <w:bCs/>
          <w:sz w:val="28"/>
          <w:szCs w:val="28"/>
        </w:rPr>
        <w:t>七、投标保证金</w:t>
      </w:r>
    </w:p>
    <w:p>
      <w:pPr>
        <w:pStyle w:val="6"/>
        <w:spacing w:line="360" w:lineRule="auto"/>
        <w:ind w:firstLine="420" w:firstLineChars="200"/>
      </w:pPr>
      <w:r>
        <w:rPr>
          <w:rFonts w:hint="eastAsia"/>
        </w:rPr>
        <w:t>投标人应在</w:t>
      </w:r>
      <w:r>
        <w:rPr>
          <w:rFonts w:hint="eastAsia"/>
          <w:b/>
          <w:bCs/>
        </w:rPr>
        <w:t>开标前3天</w:t>
      </w:r>
      <w:r>
        <w:rPr>
          <w:rFonts w:hint="eastAsia"/>
        </w:rPr>
        <w:t>从基本账户向招标人</w:t>
      </w:r>
      <w:r>
        <w:rPr>
          <w:rFonts w:hint="eastAsia"/>
          <w:color w:val="000000" w:themeColor="text1"/>
          <w14:textFill>
            <w14:solidFill>
              <w14:schemeClr w14:val="tx1"/>
            </w14:solidFill>
          </w14:textFill>
        </w:rPr>
        <w:t>交纳人民币5000元</w:t>
      </w:r>
      <w:r>
        <w:rPr>
          <w:rFonts w:hint="eastAsia"/>
        </w:rPr>
        <w:t>的投标保证金后才能获得本次招标的投标资格，投标人中标后，该保证金不再退还，自动转为履约保证金，如中标人拒绝签署合同，保证金不予退还；投标人未中标，该保证金将在中标通知发布之日起45个工作日内原路径全额无息退还。投标人报价必须涵盖所有类目，否则为无效投标，缴纳保证金时，应在汇款时注明“××公司新媒体平台直播和短视频运营项目投标保证金”。</w:t>
      </w:r>
    </w:p>
    <w:p>
      <w:pPr>
        <w:pStyle w:val="24"/>
        <w:spacing w:line="360" w:lineRule="auto"/>
        <w:rPr>
          <w:rFonts w:hint="eastAsia" w:ascii="宋体" w:hAnsi="宋体" w:eastAsia="宋体" w:cs="宋体"/>
        </w:rPr>
      </w:pPr>
      <w:r>
        <w:rPr>
          <w:rFonts w:hint="eastAsia" w:ascii="宋体" w:hAnsi="宋体" w:eastAsia="宋体" w:cs="宋体"/>
        </w:rPr>
        <w:t>1</w:t>
      </w:r>
      <w:r>
        <w:rPr>
          <w:rFonts w:hint="eastAsia" w:ascii="宋体" w:hAnsi="宋体" w:eastAsia="宋体" w:cs="宋体"/>
          <w:lang w:val="zh-TW"/>
        </w:rPr>
        <w:t>、投标保证金的形式：电汇或网银</w:t>
      </w:r>
    </w:p>
    <w:p>
      <w:pPr>
        <w:pStyle w:val="24"/>
        <w:spacing w:line="360" w:lineRule="auto"/>
        <w:rPr>
          <w:rFonts w:hint="eastAsia" w:ascii="宋体" w:hAnsi="宋体" w:eastAsia="宋体" w:cs="宋体"/>
        </w:rPr>
      </w:pPr>
      <w:r>
        <w:rPr>
          <w:rFonts w:hint="eastAsia" w:ascii="宋体" w:hAnsi="宋体" w:eastAsia="宋体" w:cs="宋体"/>
        </w:rPr>
        <w:t>2</w:t>
      </w:r>
      <w:r>
        <w:rPr>
          <w:rFonts w:hint="eastAsia" w:ascii="宋体" w:hAnsi="宋体" w:eastAsia="宋体" w:cs="宋体"/>
          <w:lang w:val="zh-TW"/>
        </w:rPr>
        <w:t>、投标保证金的金额：人民币</w:t>
      </w:r>
      <w:r>
        <w:rPr>
          <w:rFonts w:hint="eastAsia" w:ascii="宋体" w:hAnsi="宋体" w:eastAsia="宋体" w:cs="宋体"/>
          <w:u w:val="single"/>
        </w:rPr>
        <w:t>5000.00</w:t>
      </w:r>
      <w:r>
        <w:rPr>
          <w:rFonts w:hint="eastAsia" w:ascii="宋体" w:hAnsi="宋体" w:eastAsia="宋体" w:cs="宋体"/>
          <w:lang w:val="zh-TW"/>
        </w:rPr>
        <w:t>元（标书资质中附保证金付款凭证）</w:t>
      </w:r>
    </w:p>
    <w:p>
      <w:pPr>
        <w:pStyle w:val="24"/>
        <w:spacing w:line="360" w:lineRule="auto"/>
        <w:jc w:val="left"/>
        <w:rPr>
          <w:rFonts w:hint="eastAsia" w:ascii="宋体" w:hAnsi="宋体" w:eastAsia="宋体" w:cs="宋体"/>
          <w:lang w:val="zh-TW"/>
        </w:rPr>
      </w:pPr>
      <w:r>
        <w:rPr>
          <w:rFonts w:hint="eastAsia" w:ascii="宋体" w:hAnsi="宋体" w:eastAsia="宋体" w:cs="宋体"/>
          <w:lang w:val="zh-TW"/>
        </w:rPr>
        <w:t>开户名称：中国重汽集团济南专用车有限公司</w:t>
      </w:r>
    </w:p>
    <w:p>
      <w:pPr>
        <w:pStyle w:val="24"/>
        <w:spacing w:line="360" w:lineRule="auto"/>
        <w:jc w:val="left"/>
        <w:rPr>
          <w:rFonts w:hint="eastAsia" w:ascii="宋体" w:hAnsi="宋体" w:eastAsia="宋体" w:cs="宋体"/>
        </w:rPr>
      </w:pPr>
      <w:r>
        <w:rPr>
          <w:rFonts w:hint="eastAsia" w:ascii="宋体" w:hAnsi="宋体" w:eastAsia="宋体" w:cs="宋体"/>
          <w:lang w:val="zh-TW"/>
        </w:rPr>
        <w:t>账    号：</w:t>
      </w:r>
      <w:r>
        <w:rPr>
          <w:rFonts w:hint="eastAsia" w:ascii="宋体" w:hAnsi="宋体" w:eastAsia="宋体" w:cs="宋体"/>
        </w:rPr>
        <w:t>227305574495</w:t>
      </w:r>
    </w:p>
    <w:p>
      <w:pPr>
        <w:pStyle w:val="24"/>
        <w:spacing w:line="360" w:lineRule="auto"/>
        <w:jc w:val="left"/>
        <w:rPr>
          <w:rFonts w:hint="eastAsia" w:ascii="宋体" w:hAnsi="宋体" w:eastAsia="宋体" w:cs="宋体"/>
          <w:lang w:val="zh-TW"/>
        </w:rPr>
      </w:pPr>
      <w:r>
        <w:rPr>
          <w:rFonts w:hint="eastAsia" w:ascii="宋体" w:hAnsi="宋体" w:eastAsia="宋体" w:cs="宋体"/>
          <w:lang w:val="zh-TW"/>
        </w:rPr>
        <w:t>开 户 行：中国银行章丘支行</w:t>
      </w:r>
    </w:p>
    <w:p>
      <w:pPr>
        <w:pStyle w:val="24"/>
        <w:spacing w:line="360" w:lineRule="auto"/>
        <w:rPr>
          <w:rFonts w:hint="eastAsia" w:ascii="宋体" w:hAnsi="宋体" w:eastAsia="宋体" w:cs="宋体"/>
          <w:shd w:val="clear" w:color="auto" w:fill="FFFF00"/>
        </w:rPr>
      </w:pPr>
      <w:r>
        <w:rPr>
          <w:rFonts w:hint="eastAsia" w:ascii="宋体" w:hAnsi="宋体" w:eastAsia="宋体" w:cs="宋体"/>
        </w:rPr>
        <w:t>3</w:t>
      </w:r>
      <w:r>
        <w:rPr>
          <w:rFonts w:hint="eastAsia" w:ascii="宋体" w:hAnsi="宋体" w:eastAsia="宋体" w:cs="宋体"/>
          <w:lang w:val="zh-TW"/>
        </w:rPr>
        <w:t>、保证金截止时间：</w:t>
      </w:r>
      <w:r>
        <w:rPr>
          <w:rFonts w:hint="eastAsia"/>
        </w:rPr>
        <w:t>20</w:t>
      </w:r>
      <w:r>
        <w:t>2</w:t>
      </w:r>
      <w:r>
        <w:rPr>
          <w:rFonts w:hint="eastAsia"/>
        </w:rPr>
        <w:t>5年</w:t>
      </w:r>
      <w:r>
        <w:rPr>
          <w:rFonts w:hint="eastAsia"/>
          <w:lang w:val="en-US" w:eastAsia="zh-CN"/>
        </w:rPr>
        <w:t>9</w:t>
      </w:r>
      <w:r>
        <w:rPr>
          <w:rFonts w:hint="eastAsia"/>
        </w:rPr>
        <w:t>月</w:t>
      </w:r>
      <w:r>
        <w:rPr>
          <w:rFonts w:hint="eastAsia"/>
          <w:lang w:val="en-US" w:eastAsia="zh-CN"/>
        </w:rPr>
        <w:t>11</w:t>
      </w:r>
      <w:r>
        <w:rPr>
          <w:rFonts w:hint="eastAsia"/>
        </w:rPr>
        <w:t>日17：00前</w:t>
      </w:r>
      <w:r>
        <w:rPr>
          <w:rFonts w:hint="eastAsia" w:ascii="宋体" w:hAnsi="宋体" w:eastAsia="宋体" w:cs="宋体"/>
          <w:lang w:val="zh-TW"/>
        </w:rPr>
        <w:t>。</w:t>
      </w:r>
    </w:p>
    <w:p>
      <w:pPr>
        <w:pStyle w:val="24"/>
        <w:spacing w:line="360" w:lineRule="auto"/>
        <w:rPr>
          <w:rFonts w:hint="eastAsia" w:ascii="宋体" w:hAnsi="宋体" w:eastAsia="宋体" w:cs="宋体"/>
        </w:rPr>
      </w:pPr>
      <w:r>
        <w:rPr>
          <w:rFonts w:hint="eastAsia" w:ascii="宋体" w:hAnsi="宋体" w:eastAsia="宋体" w:cs="宋体"/>
        </w:rPr>
        <w:t>4</w:t>
      </w:r>
      <w:r>
        <w:rPr>
          <w:rFonts w:hint="eastAsia" w:ascii="宋体" w:hAnsi="宋体" w:eastAsia="宋体" w:cs="宋体"/>
          <w:lang w:val="zh-TW"/>
        </w:rPr>
        <w:t>、投标保证金应从投标人的基本账户转出至上述账户并到账，否则视为无效投标。</w:t>
      </w:r>
    </w:p>
    <w:p>
      <w:pPr>
        <w:spacing w:line="360" w:lineRule="auto"/>
        <w:rPr>
          <w:rFonts w:hint="eastAsia" w:ascii="宋体" w:hAnsi="宋体" w:cs="宋体"/>
          <w:szCs w:val="21"/>
        </w:rPr>
      </w:pPr>
      <w:r>
        <w:rPr>
          <w:rFonts w:hint="eastAsia" w:ascii="宋体" w:hAnsi="宋体" w:cs="宋体"/>
          <w:szCs w:val="21"/>
          <w:u w:color="000000"/>
        </w:rPr>
        <w:t>5</w:t>
      </w:r>
      <w:r>
        <w:rPr>
          <w:rFonts w:hint="eastAsia" w:ascii="宋体" w:hAnsi="宋体" w:cs="宋体"/>
          <w:szCs w:val="21"/>
          <w:u w:color="000000"/>
          <w:lang w:val="zh-TW"/>
        </w:rPr>
        <w:t>、投标人应充分考虑银行信息交换时间，由此带来的保证金不能按时到帐的责任由投标人自行承担。</w:t>
      </w:r>
    </w:p>
    <w:p>
      <w:pPr>
        <w:pStyle w:val="6"/>
        <w:spacing w:line="360" w:lineRule="auto"/>
      </w:pPr>
      <w:r>
        <w:rPr>
          <w:rFonts w:hint="eastAsia"/>
        </w:rPr>
        <w:t>注：发生以下情况时，招标人有权没收投标保证金：</w:t>
      </w:r>
    </w:p>
    <w:p>
      <w:pPr>
        <w:pStyle w:val="6"/>
        <w:numPr>
          <w:ilvl w:val="0"/>
          <w:numId w:val="5"/>
        </w:numPr>
        <w:spacing w:line="360" w:lineRule="auto"/>
        <w:ind w:hanging="5"/>
      </w:pPr>
      <w:r>
        <w:rPr>
          <w:rFonts w:hint="eastAsia"/>
        </w:rPr>
        <w:t>投标人已向招标人申请参加本次投标，但又计划撤回投标，未在开标日3日前向招标人书面说明的；</w:t>
      </w:r>
    </w:p>
    <w:p>
      <w:pPr>
        <w:pStyle w:val="6"/>
        <w:numPr>
          <w:ilvl w:val="0"/>
          <w:numId w:val="5"/>
        </w:numPr>
        <w:spacing w:line="360" w:lineRule="auto"/>
        <w:ind w:hanging="5"/>
      </w:pPr>
      <w:r>
        <w:rPr>
          <w:rFonts w:hint="eastAsia"/>
        </w:rPr>
        <w:t>开标时投标人非因不可抗力原因未按时参与的；</w:t>
      </w:r>
    </w:p>
    <w:p>
      <w:pPr>
        <w:pStyle w:val="6"/>
        <w:numPr>
          <w:ilvl w:val="0"/>
          <w:numId w:val="5"/>
        </w:numPr>
        <w:spacing w:line="360" w:lineRule="auto"/>
        <w:ind w:hanging="5"/>
      </w:pPr>
      <w:r>
        <w:rPr>
          <w:rFonts w:hint="eastAsia"/>
        </w:rPr>
        <w:t>投标人递送文件后，无正当理由放弃投标的；</w:t>
      </w:r>
    </w:p>
    <w:p>
      <w:pPr>
        <w:pStyle w:val="6"/>
        <w:numPr>
          <w:ilvl w:val="0"/>
          <w:numId w:val="5"/>
        </w:numPr>
        <w:spacing w:line="360" w:lineRule="auto"/>
        <w:ind w:hanging="5"/>
      </w:pPr>
      <w:r>
        <w:rPr>
          <w:rFonts w:hint="eastAsia"/>
        </w:rPr>
        <w:t>自中标通知或中标公告发出之日起30日内，中标人无正当理由不签订合同的；</w:t>
      </w:r>
    </w:p>
    <w:p>
      <w:pPr>
        <w:pStyle w:val="6"/>
        <w:numPr>
          <w:ilvl w:val="0"/>
          <w:numId w:val="5"/>
        </w:numPr>
        <w:spacing w:line="360" w:lineRule="auto"/>
        <w:ind w:hanging="5"/>
      </w:pPr>
      <w:r>
        <w:rPr>
          <w:rFonts w:hint="eastAsia"/>
        </w:rPr>
        <w:t>投标过程中被查实有串标、围标、陪标等违规违纪行为的；</w:t>
      </w:r>
    </w:p>
    <w:p>
      <w:pPr>
        <w:pStyle w:val="6"/>
        <w:numPr>
          <w:ilvl w:val="0"/>
          <w:numId w:val="5"/>
        </w:numPr>
        <w:spacing w:line="360" w:lineRule="auto"/>
        <w:ind w:hanging="5"/>
      </w:pPr>
      <w:r>
        <w:rPr>
          <w:rFonts w:hint="eastAsia"/>
        </w:rPr>
        <w:t>投标人有违约违规行为或被投诉、举报的，在调查处理期间，保证金暂不退还，待调查处理结束后按有关规定处理。</w:t>
      </w:r>
    </w:p>
    <w:p>
      <w:pPr>
        <w:pStyle w:val="6"/>
        <w:spacing w:line="360" w:lineRule="auto"/>
        <w:rPr>
          <w:rFonts w:hint="eastAsia" w:ascii="黑体" w:hAnsi="黑体" w:eastAsia="黑体"/>
          <w:b/>
          <w:sz w:val="28"/>
          <w:szCs w:val="28"/>
        </w:rPr>
      </w:pPr>
      <w:r>
        <w:rPr>
          <w:rFonts w:hint="eastAsia" w:ascii="黑体" w:hAnsi="黑体" w:eastAsia="黑体"/>
          <w:b/>
          <w:sz w:val="28"/>
          <w:szCs w:val="28"/>
        </w:rPr>
        <w:t>八、终止招标</w:t>
      </w:r>
    </w:p>
    <w:p>
      <w:pPr>
        <w:pStyle w:val="6"/>
        <w:spacing w:line="360" w:lineRule="auto"/>
        <w:ind w:firstLine="420" w:firstLineChars="200"/>
      </w:pPr>
      <w:r>
        <w:rPr>
          <w:rFonts w:hint="eastAsia"/>
        </w:rPr>
        <w:t>出现下列情形之一，招标人有权否决所有投标人的投标，并终止招标：</w:t>
      </w:r>
    </w:p>
    <w:p>
      <w:pPr>
        <w:pStyle w:val="6"/>
        <w:numPr>
          <w:ilvl w:val="0"/>
          <w:numId w:val="6"/>
        </w:numPr>
        <w:spacing w:line="360" w:lineRule="auto"/>
        <w:ind w:hanging="5"/>
      </w:pPr>
      <w:r>
        <w:rPr>
          <w:rFonts w:hint="eastAsia"/>
        </w:rPr>
        <w:t>符合条件的投标人或者对招标文件做实质响应的投标人不足三家的；</w:t>
      </w:r>
    </w:p>
    <w:p>
      <w:pPr>
        <w:pStyle w:val="6"/>
        <w:numPr>
          <w:ilvl w:val="0"/>
          <w:numId w:val="6"/>
        </w:numPr>
        <w:spacing w:line="360" w:lineRule="auto"/>
        <w:ind w:hanging="5"/>
      </w:pPr>
      <w:r>
        <w:rPr>
          <w:rFonts w:hint="eastAsia"/>
        </w:rPr>
        <w:t>出现影响采购公正的违法、违规行为的；</w:t>
      </w:r>
    </w:p>
    <w:p>
      <w:pPr>
        <w:pStyle w:val="6"/>
        <w:numPr>
          <w:ilvl w:val="0"/>
          <w:numId w:val="6"/>
        </w:numPr>
        <w:spacing w:line="360" w:lineRule="auto"/>
        <w:ind w:hanging="5"/>
      </w:pPr>
      <w:r>
        <w:rPr>
          <w:rFonts w:hint="eastAsia"/>
        </w:rPr>
        <w:t>经评标委员会评审，所有投标均不符合招标人要求的；</w:t>
      </w:r>
    </w:p>
    <w:p>
      <w:pPr>
        <w:pStyle w:val="6"/>
        <w:numPr>
          <w:ilvl w:val="0"/>
          <w:numId w:val="6"/>
        </w:numPr>
        <w:spacing w:line="360" w:lineRule="auto"/>
        <w:ind w:hanging="5"/>
      </w:pPr>
      <w:r>
        <w:rPr>
          <w:rFonts w:hint="eastAsia"/>
        </w:rPr>
        <w:t>因重大变故，采购任务取消的；</w:t>
      </w:r>
    </w:p>
    <w:p>
      <w:pPr>
        <w:pStyle w:val="6"/>
        <w:numPr>
          <w:ilvl w:val="0"/>
          <w:numId w:val="6"/>
        </w:numPr>
        <w:spacing w:line="360" w:lineRule="auto"/>
        <w:ind w:left="5" w:firstLine="415"/>
      </w:pPr>
      <w:r>
        <w:rPr>
          <w:rFonts w:hint="eastAsia"/>
        </w:rPr>
        <w:t>招标人认为其他应终止招标的情形。</w:t>
      </w:r>
      <w:r>
        <w:rPr>
          <w:rFonts w:hint="eastAsia"/>
        </w:rPr>
        <w:cr/>
      </w:r>
      <w:r>
        <w:rPr>
          <w:rFonts w:hint="eastAsia" w:ascii="黑体" w:hAnsi="黑体" w:eastAsia="黑体" w:cs="黑体"/>
          <w:b/>
          <w:bCs/>
          <w:sz w:val="28"/>
          <w:szCs w:val="28"/>
        </w:rPr>
        <w:t>九</w:t>
      </w:r>
      <w:r>
        <w:rPr>
          <w:rFonts w:hint="eastAsia" w:ascii="黑体" w:hAnsi="黑体" w:eastAsia="黑体" w:cs="黑体"/>
          <w:b/>
          <w:sz w:val="28"/>
          <w:szCs w:val="28"/>
        </w:rPr>
        <w:t>、废标</w:t>
      </w:r>
    </w:p>
    <w:p>
      <w:pPr>
        <w:pStyle w:val="6"/>
        <w:spacing w:line="360" w:lineRule="auto"/>
        <w:ind w:firstLine="420" w:firstLineChars="200"/>
      </w:pPr>
      <w:r>
        <w:rPr>
          <w:rFonts w:hint="eastAsia"/>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pPr>
        <w:pStyle w:val="6"/>
        <w:numPr>
          <w:ilvl w:val="0"/>
          <w:numId w:val="7"/>
        </w:numPr>
        <w:spacing w:line="360" w:lineRule="auto"/>
        <w:ind w:hanging="5"/>
      </w:pPr>
      <w:r>
        <w:rPr>
          <w:rFonts w:hint="eastAsia"/>
        </w:rPr>
        <w:t>投标人提供的有关资格、资质证明文件不合格、不真实或提供虚假投标材料。</w:t>
      </w:r>
    </w:p>
    <w:p>
      <w:pPr>
        <w:pStyle w:val="6"/>
        <w:numPr>
          <w:ilvl w:val="0"/>
          <w:numId w:val="7"/>
        </w:numPr>
        <w:spacing w:line="360" w:lineRule="auto"/>
        <w:ind w:hanging="5"/>
      </w:pPr>
      <w:r>
        <w:rPr>
          <w:rFonts w:hint="eastAsia"/>
        </w:rPr>
        <w:t>投标人在报价有效期内撤回投标。</w:t>
      </w:r>
    </w:p>
    <w:p>
      <w:pPr>
        <w:pStyle w:val="6"/>
        <w:numPr>
          <w:ilvl w:val="0"/>
          <w:numId w:val="7"/>
        </w:numPr>
        <w:spacing w:line="360" w:lineRule="auto"/>
        <w:ind w:hanging="5"/>
      </w:pPr>
      <w:r>
        <w:rPr>
          <w:rFonts w:hint="eastAsia"/>
        </w:rPr>
        <w:t>在整个评标过程中，投标人有企图影响评标结果公正性的任何活动；</w:t>
      </w:r>
    </w:p>
    <w:p>
      <w:pPr>
        <w:pStyle w:val="6"/>
        <w:numPr>
          <w:ilvl w:val="0"/>
          <w:numId w:val="7"/>
        </w:numPr>
        <w:spacing w:line="360" w:lineRule="auto"/>
        <w:ind w:hanging="5"/>
      </w:pPr>
      <w:r>
        <w:rPr>
          <w:rFonts w:hint="eastAsia"/>
        </w:rPr>
        <w:t>投标人以任何方式诋毁其他投标人。</w:t>
      </w:r>
    </w:p>
    <w:p>
      <w:pPr>
        <w:pStyle w:val="6"/>
        <w:numPr>
          <w:ilvl w:val="0"/>
          <w:numId w:val="7"/>
        </w:numPr>
        <w:spacing w:line="360" w:lineRule="auto"/>
        <w:ind w:hanging="5"/>
      </w:pPr>
      <w:r>
        <w:rPr>
          <w:rFonts w:hint="eastAsia"/>
        </w:rPr>
        <w:t>投标人串通投标。</w:t>
      </w:r>
    </w:p>
    <w:p>
      <w:pPr>
        <w:pStyle w:val="6"/>
        <w:numPr>
          <w:ilvl w:val="0"/>
          <w:numId w:val="7"/>
        </w:numPr>
        <w:spacing w:line="360" w:lineRule="auto"/>
        <w:ind w:hanging="5"/>
      </w:pPr>
      <w:r>
        <w:rPr>
          <w:rFonts w:hint="eastAsia"/>
        </w:rPr>
        <w:t>以他人名义投标或者以其他方式弄虚作假，骗取中标的。</w:t>
      </w:r>
    </w:p>
    <w:p>
      <w:pPr>
        <w:pStyle w:val="6"/>
        <w:numPr>
          <w:ilvl w:val="0"/>
          <w:numId w:val="7"/>
        </w:numPr>
        <w:spacing w:line="360" w:lineRule="auto"/>
        <w:ind w:hanging="5"/>
      </w:pPr>
      <w:r>
        <w:rPr>
          <w:rFonts w:hint="eastAsia"/>
        </w:rPr>
        <w:t>中标人不按规定签订合同。</w:t>
      </w:r>
    </w:p>
    <w:p>
      <w:pPr>
        <w:pStyle w:val="6"/>
        <w:numPr>
          <w:ilvl w:val="0"/>
          <w:numId w:val="7"/>
        </w:numPr>
        <w:spacing w:line="360" w:lineRule="auto"/>
        <w:ind w:hanging="5"/>
      </w:pPr>
      <w:r>
        <w:rPr>
          <w:rFonts w:hint="eastAsia"/>
        </w:rPr>
        <w:t>投标人负责人为同一人或者存在控股、管理关系的不同单位；</w:t>
      </w:r>
    </w:p>
    <w:p>
      <w:pPr>
        <w:pStyle w:val="6"/>
        <w:numPr>
          <w:ilvl w:val="0"/>
          <w:numId w:val="7"/>
        </w:numPr>
        <w:spacing w:line="360" w:lineRule="auto"/>
        <w:ind w:hanging="5"/>
      </w:pPr>
      <w:r>
        <w:rPr>
          <w:rFonts w:hint="eastAsia"/>
        </w:rPr>
        <w:t>投标人被举报、检举，并经招标人查实无误的。</w:t>
      </w:r>
    </w:p>
    <w:p>
      <w:pPr>
        <w:pStyle w:val="6"/>
        <w:numPr>
          <w:ilvl w:val="0"/>
          <w:numId w:val="7"/>
        </w:numPr>
        <w:spacing w:line="360" w:lineRule="auto"/>
        <w:ind w:hanging="5"/>
      </w:pPr>
      <w:r>
        <w:rPr>
          <w:rFonts w:hint="eastAsia"/>
        </w:rPr>
        <w:t>法律、法规规定的其他情况。</w:t>
      </w:r>
    </w:p>
    <w:p>
      <w:pPr>
        <w:pStyle w:val="6"/>
        <w:spacing w:line="360" w:lineRule="auto"/>
        <w:rPr>
          <w:rFonts w:hint="eastAsia" w:ascii="黑体" w:hAnsi="黑体" w:eastAsia="黑体"/>
          <w:b/>
          <w:sz w:val="28"/>
          <w:szCs w:val="28"/>
        </w:rPr>
      </w:pPr>
      <w:r>
        <w:rPr>
          <w:rFonts w:hint="eastAsia" w:ascii="黑体" w:hAnsi="黑体" w:eastAsia="黑体"/>
          <w:b/>
          <w:sz w:val="28"/>
          <w:szCs w:val="28"/>
        </w:rPr>
        <w:t>十、验收及违约责任交货期</w:t>
      </w:r>
    </w:p>
    <w:p>
      <w:pPr>
        <w:pStyle w:val="6"/>
        <w:numPr>
          <w:ilvl w:val="0"/>
          <w:numId w:val="8"/>
        </w:numPr>
        <w:spacing w:line="360" w:lineRule="auto"/>
        <w:ind w:hanging="5"/>
      </w:pPr>
      <w:r>
        <w:rPr>
          <w:rFonts w:hint="eastAsia"/>
        </w:rPr>
        <w:t>按照合同约定执行。</w:t>
      </w:r>
    </w:p>
    <w:p>
      <w:pPr>
        <w:pStyle w:val="6"/>
        <w:numPr>
          <w:ilvl w:val="0"/>
          <w:numId w:val="8"/>
        </w:numPr>
        <w:spacing w:line="360" w:lineRule="auto"/>
        <w:ind w:hanging="5"/>
      </w:pPr>
      <w:r>
        <w:rPr>
          <w:rFonts w:hint="eastAsia"/>
        </w:rPr>
        <w:t>合同以最终签署版为准。</w:t>
      </w:r>
    </w:p>
    <w:p>
      <w:pPr>
        <w:pStyle w:val="6"/>
        <w:spacing w:line="360" w:lineRule="auto"/>
        <w:rPr>
          <w:rFonts w:hint="eastAsia" w:ascii="黑体" w:hAnsi="黑体" w:eastAsia="黑体"/>
          <w:b/>
          <w:sz w:val="28"/>
          <w:szCs w:val="28"/>
        </w:rPr>
      </w:pPr>
      <w:r>
        <w:rPr>
          <w:rFonts w:hint="eastAsia" w:ascii="黑体" w:hAnsi="黑体" w:eastAsia="黑体"/>
          <w:b/>
          <w:sz w:val="28"/>
          <w:szCs w:val="28"/>
        </w:rPr>
        <w:t>十一、付款方式</w:t>
      </w:r>
    </w:p>
    <w:p>
      <w:pPr>
        <w:spacing w:line="360" w:lineRule="auto"/>
        <w:ind w:firstLine="420" w:firstLineChars="200"/>
        <w:jc w:val="left"/>
        <w:rPr>
          <w:color w:val="000000"/>
        </w:rPr>
      </w:pPr>
      <w:r>
        <w:rPr>
          <w:rFonts w:hint="eastAsia"/>
        </w:rPr>
        <w:t>项目费用分为年费和月费两部分，年费占招标总额30%，招标人每月对项目</w:t>
      </w:r>
      <w:r>
        <w:t>KPI</w:t>
      </w:r>
      <w:r>
        <w:rPr>
          <w:rFonts w:hint="eastAsia"/>
        </w:rPr>
        <w:t>完成情况进行考核，</w:t>
      </w:r>
      <w:r>
        <w:rPr>
          <w:rFonts w:hint="eastAsia"/>
          <w:bCs/>
        </w:rPr>
        <w:t>详见附件4《</w:t>
      </w:r>
      <w:r>
        <w:rPr>
          <w:rFonts w:hint="eastAsia" w:ascii="宋体" w:hAnsi="Courier New"/>
        </w:rPr>
        <w:t>中国重汽集团济南专用车有限公司新媒体平台直播和短视频运营项目——月度服务KPI评分表》、</w:t>
      </w:r>
      <w:r>
        <w:rPr>
          <w:rFonts w:hint="eastAsia"/>
        </w:rPr>
        <w:t>根据考核结果按季度支付费用；剩余年费部分根据整个项目年度完成KPI情况进行考核，详见</w:t>
      </w:r>
      <w:r>
        <w:rPr>
          <w:rFonts w:hint="eastAsia" w:ascii="宋体" w:hAnsi="Courier New"/>
        </w:rPr>
        <w:t>附件5《</w:t>
      </w:r>
      <w:r>
        <w:rPr>
          <w:rFonts w:hint="eastAsia"/>
        </w:rPr>
        <w:t>中国重汽集团济南专用车有限公司新媒体平台直播和短视频运营项目——年度服务KPI评分表》</w:t>
      </w:r>
      <w:r>
        <w:rPr>
          <w:rFonts w:hint="eastAsia"/>
          <w:bCs/>
        </w:rPr>
        <w:t>，</w:t>
      </w:r>
      <w:r>
        <w:rPr>
          <w:rFonts w:hint="eastAsia"/>
        </w:rPr>
        <w:t>根据考核结果支付年费</w:t>
      </w:r>
      <w:r>
        <w:rPr>
          <w:rFonts w:hint="eastAsia"/>
          <w:color w:val="000000"/>
        </w:rPr>
        <w:t>。</w:t>
      </w:r>
      <w:r>
        <w:rPr>
          <w:rFonts w:hint="eastAsia"/>
          <w:color w:val="000000" w:themeColor="text1"/>
          <w14:textFill>
            <w14:solidFill>
              <w14:schemeClr w14:val="tx1"/>
            </w14:solidFill>
          </w14:textFill>
        </w:rPr>
        <w:t>月度费用中标人开具合同要</w:t>
      </w:r>
      <w:r>
        <w:rPr>
          <w:rFonts w:hint="eastAsia"/>
          <w:color w:val="000000"/>
        </w:rPr>
        <w:t>求的发票，发票挂账后次月付款。招标人支付半年期商业汇票（包括银行承兑汇票或商业承兑汇票），具体根据合同约定执行。</w:t>
      </w:r>
    </w:p>
    <w:p>
      <w:pPr>
        <w:pStyle w:val="6"/>
        <w:spacing w:line="360" w:lineRule="auto"/>
        <w:rPr>
          <w:rFonts w:hint="eastAsia" w:ascii="黑体" w:hAnsi="黑体" w:eastAsia="黑体"/>
          <w:b/>
          <w:sz w:val="28"/>
          <w:szCs w:val="28"/>
        </w:rPr>
      </w:pPr>
      <w:r>
        <w:rPr>
          <w:rFonts w:hint="eastAsia" w:ascii="黑体" w:hAnsi="黑体" w:eastAsia="黑体"/>
          <w:b/>
          <w:sz w:val="28"/>
          <w:szCs w:val="28"/>
        </w:rPr>
        <w:t>十二、投标报价</w:t>
      </w:r>
    </w:p>
    <w:p>
      <w:pPr>
        <w:pStyle w:val="6"/>
        <w:numPr>
          <w:ilvl w:val="0"/>
          <w:numId w:val="9"/>
        </w:numPr>
        <w:spacing w:line="360" w:lineRule="auto"/>
        <w:ind w:left="0" w:firstLine="420"/>
      </w:pPr>
      <w:r>
        <w:rPr>
          <w:rFonts w:hint="eastAsia"/>
        </w:rPr>
        <w:t>经与招标人或其指派的答疑人员充分沟通确认基础上，由投标人在满足招标人所提出的、与本项目有关的所有费用；</w:t>
      </w:r>
      <w:r>
        <w:rPr>
          <w:rFonts w:hint="eastAsia" w:hAnsi="宋体"/>
          <w:kern w:val="0"/>
          <w:szCs w:val="21"/>
        </w:rPr>
        <w:t>投标人报价必须涵盖所有类目，否则为无效投标。</w:t>
      </w:r>
      <w:r>
        <w:t xml:space="preserve"> </w:t>
      </w:r>
    </w:p>
    <w:p>
      <w:pPr>
        <w:pStyle w:val="6"/>
        <w:numPr>
          <w:ilvl w:val="0"/>
          <w:numId w:val="9"/>
        </w:numPr>
        <w:spacing w:line="360" w:lineRule="auto"/>
        <w:ind w:left="0" w:firstLine="420"/>
      </w:pPr>
      <w:r>
        <w:rPr>
          <w:rFonts w:hint="eastAsia"/>
        </w:rPr>
        <w:t>视频制作、图片设计等相关知识产权归招标人所有，投标人与招标人应当互相保守双方的商业秘密。对提供的参数、技术指标、价格等技术资料，未经招标人书面许可，投标人不得泄露。</w:t>
      </w:r>
    </w:p>
    <w:p>
      <w:pPr>
        <w:pStyle w:val="6"/>
        <w:numPr>
          <w:ilvl w:val="0"/>
          <w:numId w:val="9"/>
        </w:numPr>
        <w:spacing w:line="360" w:lineRule="auto"/>
        <w:ind w:left="0" w:firstLine="420"/>
      </w:pPr>
      <w:r>
        <w:rPr>
          <w:rFonts w:hint="eastAsia"/>
        </w:rPr>
        <w:t>所有报价货币单位均为：</w:t>
      </w:r>
      <w:r>
        <w:rPr>
          <w:rFonts w:hint="eastAsia"/>
          <w:color w:val="000000"/>
        </w:rPr>
        <w:t>元（人民币），报价包含：不含税金额、税率及价税合计金额</w:t>
      </w:r>
      <w:r>
        <w:rPr>
          <w:rFonts w:hint="eastAsia"/>
        </w:rPr>
        <w:t>。如发生政策性税费降低，中标价格要进行相应调整。</w:t>
      </w:r>
    </w:p>
    <w:p>
      <w:pPr>
        <w:pStyle w:val="6"/>
        <w:spacing w:line="360" w:lineRule="auto"/>
        <w:rPr>
          <w:rFonts w:ascii="Arial" w:hAnsi="Arial" w:cs="Arial"/>
          <w:color w:val="333333"/>
          <w:szCs w:val="21"/>
        </w:rPr>
      </w:pPr>
      <w:r>
        <w:rPr>
          <w:rFonts w:hint="eastAsia" w:ascii="黑体" w:hAnsi="黑体" w:eastAsia="黑体"/>
          <w:b/>
          <w:sz w:val="28"/>
          <w:szCs w:val="28"/>
        </w:rPr>
        <w:t>十三、</w:t>
      </w:r>
      <w:r>
        <w:rPr>
          <w:rFonts w:ascii="黑体" w:hAnsi="黑体" w:eastAsia="黑体"/>
          <w:b/>
          <w:sz w:val="28"/>
          <w:szCs w:val="28"/>
        </w:rPr>
        <w:t>中标人瑕疵滞后发现的处理原则</w:t>
      </w:r>
    </w:p>
    <w:p>
      <w:pPr>
        <w:pStyle w:val="6"/>
        <w:spacing w:line="360" w:lineRule="auto"/>
        <w:ind w:firstLine="420" w:firstLineChars="200"/>
        <w:rPr>
          <w:bCs/>
        </w:rPr>
      </w:pPr>
      <w:r>
        <w:rPr>
          <w:rFonts w:ascii="Arial" w:hAnsi="Arial" w:cs="Arial"/>
          <w:color w:val="333333"/>
          <w:szCs w:val="21"/>
          <w:shd w:val="clear" w:color="auto" w:fill="FFFFFF"/>
        </w:rPr>
        <w:t>无</w:t>
      </w:r>
      <w:r>
        <w:rPr>
          <w:bCs/>
        </w:rPr>
        <w:t>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pPr>
        <w:pStyle w:val="6"/>
        <w:spacing w:line="360" w:lineRule="auto"/>
        <w:rPr>
          <w:rFonts w:hint="eastAsia" w:ascii="黑体" w:hAnsi="黑体" w:eastAsia="黑体"/>
          <w:b/>
          <w:sz w:val="28"/>
          <w:szCs w:val="28"/>
        </w:rPr>
      </w:pPr>
      <w:r>
        <w:rPr>
          <w:rFonts w:hint="eastAsia" w:ascii="黑体" w:hAnsi="黑体" w:eastAsia="黑体"/>
          <w:b/>
          <w:sz w:val="28"/>
          <w:szCs w:val="28"/>
        </w:rPr>
        <w:t>十四、最终解释权</w:t>
      </w:r>
    </w:p>
    <w:p>
      <w:pPr>
        <w:pStyle w:val="6"/>
        <w:spacing w:line="360" w:lineRule="auto"/>
        <w:ind w:left="630" w:leftChars="300"/>
        <w:rPr>
          <w:rFonts w:ascii="Arial" w:hAnsi="Arial" w:cs="Arial"/>
          <w:color w:val="333333"/>
          <w:szCs w:val="21"/>
          <w:shd w:val="clear" w:color="auto" w:fill="FFFFFF"/>
        </w:rPr>
      </w:pPr>
      <w:r>
        <w:rPr>
          <w:rFonts w:hint="eastAsia" w:ascii="Arial" w:hAnsi="Arial" w:cs="Arial"/>
          <w:color w:val="333333"/>
          <w:szCs w:val="21"/>
          <w:shd w:val="clear" w:color="auto" w:fill="FFFFFF"/>
        </w:rPr>
        <w:t>本次招标最终解释权归中国重汽集团济南专用车有限公司所有。</w:t>
      </w:r>
    </w:p>
    <w:p>
      <w:pPr>
        <w:pStyle w:val="6"/>
        <w:spacing w:line="360" w:lineRule="auto"/>
        <w:jc w:val="center"/>
        <w:rPr>
          <w:rFonts w:ascii="黑体" w:eastAsia="黑体"/>
          <w:b/>
          <w:bCs/>
          <w:sz w:val="36"/>
          <w:szCs w:val="36"/>
        </w:rPr>
      </w:pPr>
    </w:p>
    <w:p>
      <w:pPr>
        <w:pStyle w:val="4"/>
        <w:tabs>
          <w:tab w:val="right" w:leader="dot" w:pos="9061"/>
        </w:tabs>
        <w:spacing w:before="240" w:after="240"/>
        <w:jc w:val="center"/>
      </w:pPr>
      <w:r>
        <w:rPr>
          <w:rFonts w:hint="eastAsia" w:ascii="黑体" w:eastAsia="黑体"/>
          <w:b/>
          <w:bCs/>
          <w:sz w:val="36"/>
          <w:szCs w:val="36"/>
        </w:rPr>
        <w:t xml:space="preserve">第二章  </w:t>
      </w:r>
      <w:r>
        <w:rPr>
          <w:rFonts w:ascii="黑体" w:eastAsia="黑体"/>
          <w:b/>
          <w:bCs/>
          <w:sz w:val="36"/>
          <w:szCs w:val="36"/>
        </w:rPr>
        <w:t xml:space="preserve"> </w:t>
      </w:r>
      <w:bookmarkStart w:id="3" w:name="_Toc1939"/>
      <w:bookmarkStart w:id="4" w:name="_Toc56676932"/>
      <w:bookmarkStart w:id="5" w:name="_Toc19247"/>
      <w:r>
        <w:t>评标方法</w:t>
      </w:r>
      <w:bookmarkEnd w:id="3"/>
      <w:bookmarkEnd w:id="4"/>
      <w:bookmarkEnd w:id="5"/>
    </w:p>
    <w:p>
      <w:pPr>
        <w:pStyle w:val="6"/>
        <w:spacing w:line="360" w:lineRule="auto"/>
        <w:ind w:firstLine="420" w:firstLineChars="200"/>
        <w:rPr>
          <w:rFonts w:hint="eastAsia" w:ascii="宋体" w:eastAsia="宋体" w:cs="Times New Roman"/>
          <w:bCs/>
        </w:rPr>
      </w:pPr>
      <w:bookmarkStart w:id="6" w:name="_Toc6004"/>
      <w:r>
        <w:rPr>
          <w:rFonts w:hint="eastAsia" w:ascii="宋体" w:eastAsia="宋体" w:cs="Times New Roman"/>
          <w:bCs/>
        </w:rPr>
        <w:t>本次评标采用技术标和商务标分级开标的模式。首先进行技术标评审，由评标专家组对所有投标方的技术标部分综合评定和打分，</w:t>
      </w:r>
      <w:r>
        <w:rPr>
          <w:rFonts w:hint="eastAsia" w:ascii="宋体" w:eastAsia="宋体" w:cs="Times New Roman"/>
          <w:b/>
          <w:bCs w:val="0"/>
          <w:u w:val="single"/>
        </w:rPr>
        <w:t>技术标评审合格的投标方可以进入商务标评审环节，技术标评审不合格的投标方会面临淘汰。</w:t>
      </w:r>
      <w:r>
        <w:rPr>
          <w:rFonts w:hint="eastAsia" w:ascii="宋体" w:eastAsia="宋体" w:cs="Times New Roman"/>
          <w:bCs/>
        </w:rPr>
        <w:t>然后进行商务标的评标及商务标的评分，招标人有权根据项目情况，采取多</w:t>
      </w:r>
      <w:r>
        <w:rPr>
          <w:rFonts w:hint="eastAsia" w:cs="Times New Roman"/>
          <w:bCs/>
          <w:lang w:val="en-US" w:eastAsia="zh-CN"/>
        </w:rPr>
        <w:t>轮</w:t>
      </w:r>
      <w:r>
        <w:rPr>
          <w:rFonts w:hint="eastAsia" w:ascii="宋体" w:eastAsia="宋体" w:cs="Times New Roman"/>
          <w:bCs/>
        </w:rPr>
        <w:t>评标模式，最终根据技术标及商务标的总得分确定各投标人</w:t>
      </w:r>
      <w:bookmarkStart w:id="12" w:name="_GoBack"/>
      <w:bookmarkEnd w:id="12"/>
      <w:r>
        <w:rPr>
          <w:rFonts w:hint="eastAsia" w:ascii="宋体" w:eastAsia="宋体" w:cs="Times New Roman"/>
          <w:bCs/>
        </w:rPr>
        <w:t>排序，确定中标人。另外招标人有权根据情况取消招标，招标人不向投标方解释未中标原因。评分细则如下：</w:t>
      </w:r>
      <w:bookmarkEnd w:id="6"/>
    </w:p>
    <w:p>
      <w:pPr>
        <w:ind w:firstLine="3795" w:firstLineChars="1800"/>
        <w:rPr>
          <w:b/>
          <w:bCs/>
          <w:szCs w:val="24"/>
        </w:rPr>
      </w:pPr>
      <w:r>
        <w:rPr>
          <w:b/>
          <w:bCs/>
          <w:szCs w:val="24"/>
        </w:rPr>
        <w:t>评分细则</w:t>
      </w:r>
    </w:p>
    <w:p>
      <w:pPr>
        <w:pStyle w:val="25"/>
      </w:pPr>
    </w:p>
    <w:tbl>
      <w:tblPr>
        <w:tblStyle w:val="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65"/>
        <w:gridCol w:w="735"/>
        <w:gridCol w:w="1259"/>
        <w:gridCol w:w="839"/>
        <w:gridCol w:w="44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pPr>
              <w:spacing w:line="240" w:lineRule="auto"/>
              <w:ind w:right="34" w:rightChars="16" w:firstLine="0" w:firstLineChars="0"/>
              <w:jc w:val="center"/>
              <w:rPr>
                <w:rFonts w:ascii="仿宋_GB2312" w:eastAsia="仿宋_GB2312"/>
                <w:b/>
                <w:sz w:val="21"/>
              </w:rPr>
            </w:pPr>
            <w:r>
              <w:rPr>
                <w:rFonts w:hint="eastAsia" w:ascii="仿宋_GB2312" w:eastAsia="仿宋_GB2312"/>
                <w:b/>
                <w:sz w:val="21"/>
              </w:rPr>
              <w:t>评标因素</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right="34" w:rightChars="16" w:firstLine="0" w:firstLineChars="0"/>
              <w:jc w:val="center"/>
              <w:rPr>
                <w:rFonts w:ascii="仿宋_GB2312" w:eastAsia="仿宋_GB2312"/>
                <w:b/>
                <w:sz w:val="21"/>
              </w:rPr>
            </w:pPr>
            <w:r>
              <w:rPr>
                <w:rFonts w:hint="eastAsia" w:ascii="仿宋_GB2312" w:eastAsia="仿宋_GB2312"/>
                <w:b/>
                <w:sz w:val="21"/>
              </w:rPr>
              <w:t>总分</w:t>
            </w:r>
          </w:p>
        </w:tc>
        <w:tc>
          <w:tcPr>
            <w:tcW w:w="1259" w:type="dxa"/>
            <w:tcBorders>
              <w:top w:val="single" w:color="auto" w:sz="4" w:space="0"/>
              <w:left w:val="single" w:color="auto" w:sz="4" w:space="0"/>
              <w:bottom w:val="single" w:color="auto" w:sz="4" w:space="0"/>
              <w:right w:val="single" w:color="auto" w:sz="4" w:space="0"/>
            </w:tcBorders>
            <w:vAlign w:val="center"/>
          </w:tcPr>
          <w:p>
            <w:pPr>
              <w:spacing w:line="240" w:lineRule="auto"/>
              <w:ind w:right="34" w:rightChars="16" w:firstLine="0" w:firstLineChars="0"/>
              <w:jc w:val="center"/>
              <w:rPr>
                <w:rFonts w:ascii="仿宋_GB2312" w:eastAsia="仿宋_GB2312"/>
                <w:b/>
                <w:sz w:val="21"/>
              </w:rPr>
            </w:pPr>
            <w:r>
              <w:rPr>
                <w:rFonts w:hint="eastAsia" w:ascii="仿宋_GB2312" w:eastAsia="仿宋_GB2312"/>
                <w:b/>
                <w:sz w:val="21"/>
              </w:rPr>
              <w:t>评审内容</w:t>
            </w:r>
          </w:p>
        </w:tc>
        <w:tc>
          <w:tcPr>
            <w:tcW w:w="839" w:type="dxa"/>
            <w:tcBorders>
              <w:top w:val="single" w:color="auto" w:sz="4" w:space="0"/>
              <w:left w:val="single" w:color="auto" w:sz="4" w:space="0"/>
              <w:bottom w:val="single" w:color="auto" w:sz="4" w:space="0"/>
              <w:right w:val="single" w:color="auto" w:sz="4" w:space="0"/>
            </w:tcBorders>
            <w:vAlign w:val="center"/>
          </w:tcPr>
          <w:p>
            <w:pPr>
              <w:spacing w:line="240" w:lineRule="auto"/>
              <w:ind w:right="34" w:rightChars="16" w:firstLine="0" w:firstLineChars="0"/>
              <w:jc w:val="center"/>
              <w:rPr>
                <w:rFonts w:ascii="仿宋_GB2312" w:eastAsia="仿宋_GB2312"/>
                <w:b/>
                <w:sz w:val="21"/>
              </w:rPr>
            </w:pPr>
            <w:r>
              <w:rPr>
                <w:rFonts w:hint="eastAsia" w:ascii="仿宋_GB2312" w:eastAsia="仿宋_GB2312"/>
                <w:b/>
                <w:sz w:val="21"/>
              </w:rPr>
              <w:t>最高</w:t>
            </w:r>
          </w:p>
          <w:p>
            <w:pPr>
              <w:spacing w:line="240" w:lineRule="auto"/>
              <w:ind w:right="34" w:rightChars="16" w:firstLine="0" w:firstLineChars="0"/>
              <w:jc w:val="center"/>
              <w:rPr>
                <w:rFonts w:ascii="仿宋_GB2312" w:eastAsia="仿宋_GB2312"/>
                <w:b/>
                <w:sz w:val="21"/>
              </w:rPr>
            </w:pPr>
            <w:r>
              <w:rPr>
                <w:rFonts w:hint="eastAsia" w:ascii="仿宋_GB2312" w:eastAsia="仿宋_GB2312"/>
                <w:b/>
                <w:sz w:val="21"/>
              </w:rPr>
              <w:t>得分</w:t>
            </w:r>
          </w:p>
        </w:tc>
        <w:tc>
          <w:tcPr>
            <w:tcW w:w="4417" w:type="dxa"/>
            <w:tcBorders>
              <w:top w:val="single" w:color="auto" w:sz="4" w:space="0"/>
              <w:left w:val="single" w:color="auto" w:sz="4" w:space="0"/>
              <w:bottom w:val="single" w:color="auto" w:sz="4" w:space="0"/>
              <w:right w:val="single" w:color="auto" w:sz="4" w:space="0"/>
            </w:tcBorders>
            <w:vAlign w:val="center"/>
          </w:tcPr>
          <w:p>
            <w:pPr>
              <w:spacing w:line="240" w:lineRule="auto"/>
              <w:ind w:right="34" w:rightChars="16" w:firstLine="0" w:firstLineChars="0"/>
              <w:jc w:val="center"/>
              <w:rPr>
                <w:rFonts w:ascii="仿宋_GB2312" w:eastAsia="仿宋_GB2312"/>
                <w:b/>
                <w:sz w:val="21"/>
              </w:rPr>
            </w:pPr>
            <w:r>
              <w:rPr>
                <w:rFonts w:hint="eastAsia" w:ascii="仿宋_GB2312" w:eastAsia="仿宋_GB2312"/>
                <w:b/>
                <w:sz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65" w:type="dxa"/>
            <w:vMerge w:val="restart"/>
            <w:vAlign w:val="center"/>
          </w:tcPr>
          <w:p>
            <w:pPr>
              <w:spacing w:line="240" w:lineRule="auto"/>
              <w:ind w:firstLine="0" w:firstLineChars="0"/>
              <w:jc w:val="center"/>
              <w:rPr>
                <w:rFonts w:ascii="仿宋_GB2312" w:eastAsia="仿宋_GB2312"/>
                <w:color w:val="000000"/>
                <w:sz w:val="21"/>
              </w:rPr>
            </w:pPr>
            <w:r>
              <w:rPr>
                <w:rFonts w:hint="eastAsia" w:ascii="仿宋_GB2312" w:eastAsia="仿宋_GB2312"/>
                <w:b/>
                <w:color w:val="000000"/>
                <w:sz w:val="21"/>
              </w:rPr>
              <w:t>技术标</w:t>
            </w:r>
          </w:p>
        </w:tc>
        <w:tc>
          <w:tcPr>
            <w:tcW w:w="735" w:type="dxa"/>
            <w:vMerge w:val="restart"/>
            <w:vAlign w:val="center"/>
          </w:tcPr>
          <w:p>
            <w:pPr>
              <w:spacing w:line="240" w:lineRule="auto"/>
              <w:ind w:firstLine="0" w:firstLineChars="0"/>
              <w:jc w:val="center"/>
              <w:rPr>
                <w:rFonts w:ascii="仿宋_GB2312" w:eastAsia="仿宋_GB2312"/>
                <w:color w:val="000000"/>
                <w:sz w:val="21"/>
              </w:rPr>
            </w:pPr>
            <w:r>
              <w:rPr>
                <w:rFonts w:hint="eastAsia" w:ascii="仿宋_GB2312" w:eastAsia="仿宋_GB2312"/>
                <w:b/>
                <w:color w:val="000000"/>
                <w:sz w:val="21"/>
              </w:rPr>
              <w:t xml:space="preserve">40分 </w:t>
            </w:r>
          </w:p>
        </w:tc>
        <w:tc>
          <w:tcPr>
            <w:tcW w:w="1259" w:type="dxa"/>
            <w:vMerge w:val="restart"/>
            <w:vAlign w:val="center"/>
          </w:tcPr>
          <w:p>
            <w:pPr>
              <w:spacing w:line="240" w:lineRule="auto"/>
              <w:ind w:firstLine="0" w:firstLineChars="0"/>
              <w:jc w:val="center"/>
              <w:rPr>
                <w:rFonts w:ascii="仿宋_GB2312" w:eastAsia="仿宋_GB2312"/>
                <w:b/>
                <w:color w:val="000000"/>
                <w:sz w:val="21"/>
              </w:rPr>
            </w:pPr>
            <w:r>
              <w:rPr>
                <w:rFonts w:hint="eastAsia" w:ascii="仿宋_GB2312" w:eastAsia="仿宋_GB2312"/>
                <w:b/>
                <w:color w:val="000000"/>
                <w:sz w:val="21"/>
              </w:rPr>
              <w:t>技术方案</w:t>
            </w:r>
          </w:p>
          <w:p>
            <w:pPr>
              <w:spacing w:line="240" w:lineRule="auto"/>
              <w:ind w:firstLine="0" w:firstLineChars="0"/>
              <w:jc w:val="center"/>
              <w:rPr>
                <w:sz w:val="21"/>
              </w:rPr>
            </w:pPr>
            <w:r>
              <w:rPr>
                <w:rFonts w:hint="eastAsia" w:ascii="仿宋_GB2312" w:eastAsia="仿宋_GB2312"/>
                <w:b/>
                <w:color w:val="000000"/>
                <w:sz w:val="21"/>
              </w:rPr>
              <w:t>（3</w:t>
            </w:r>
            <w:r>
              <w:rPr>
                <w:rFonts w:hint="eastAsia" w:ascii="仿宋_GB2312" w:eastAsia="仿宋_GB2312"/>
                <w:b/>
                <w:color w:val="000000"/>
                <w:sz w:val="21"/>
                <w:lang w:val="en-US" w:eastAsia="zh-CN"/>
              </w:rPr>
              <w:t>6</w:t>
            </w:r>
            <w:r>
              <w:rPr>
                <w:rFonts w:hint="eastAsia" w:ascii="仿宋_GB2312" w:eastAsia="仿宋_GB2312"/>
                <w:b/>
                <w:color w:val="000000"/>
                <w:sz w:val="21"/>
              </w:rPr>
              <w:t>分）</w:t>
            </w:r>
          </w:p>
        </w:tc>
        <w:tc>
          <w:tcPr>
            <w:tcW w:w="839" w:type="dxa"/>
            <w:vAlign w:val="center"/>
          </w:tcPr>
          <w:p>
            <w:pPr>
              <w:spacing w:line="240" w:lineRule="auto"/>
              <w:ind w:firstLine="0" w:firstLineChars="0"/>
              <w:jc w:val="center"/>
              <w:rPr>
                <w:rFonts w:hint="eastAsia" w:ascii="仿宋_GB2312" w:eastAsia="仿宋_GB2312"/>
                <w:b/>
                <w:color w:val="000000"/>
                <w:sz w:val="21"/>
                <w:lang w:eastAsia="zh-CN"/>
              </w:rPr>
            </w:pPr>
            <w:r>
              <w:rPr>
                <w:rFonts w:hint="eastAsia" w:ascii="仿宋_GB2312" w:eastAsia="仿宋_GB2312"/>
                <w:b/>
                <w:color w:val="000000"/>
                <w:sz w:val="21"/>
              </w:rPr>
              <w:t>5</w:t>
            </w:r>
            <w:r>
              <w:rPr>
                <w:rFonts w:hint="eastAsia" w:ascii="仿宋_GB2312" w:eastAsia="仿宋_GB2312"/>
                <w:b/>
                <w:color w:val="000000"/>
                <w:sz w:val="21"/>
                <w:lang w:eastAsia="zh-CN"/>
              </w:rPr>
              <w:t>分</w:t>
            </w:r>
          </w:p>
        </w:tc>
        <w:tc>
          <w:tcPr>
            <w:tcW w:w="4417" w:type="dxa"/>
            <w:vAlign w:val="center"/>
          </w:tcPr>
          <w:p>
            <w:pPr>
              <w:tabs>
                <w:tab w:val="left" w:pos="7854"/>
              </w:tabs>
              <w:spacing w:line="240" w:lineRule="auto"/>
              <w:ind w:firstLine="0" w:firstLineChars="0"/>
              <w:rPr>
                <w:rFonts w:ascii="仿宋_GB2312" w:eastAsia="仿宋_GB2312"/>
                <w:color w:val="000000"/>
                <w:sz w:val="21"/>
              </w:rPr>
            </w:pPr>
            <w:r>
              <w:rPr>
                <w:rFonts w:hint="eastAsia" w:ascii="仿宋" w:hAnsi="仿宋" w:eastAsia="仿宋" w:cs="仿宋"/>
                <w:b/>
                <w:bCs/>
                <w:color w:val="000000"/>
                <w:sz w:val="21"/>
              </w:rPr>
              <w:t>运营策略与年度传播规划的完整性、可操作性、与重汽专用车品牌契合度。投标人具备国外合法VPN使用渠道，并能应用于国外官方账号运营，</w:t>
            </w:r>
            <w:r>
              <w:rPr>
                <w:rFonts w:hint="eastAsia" w:ascii="仿宋" w:hAnsi="仿宋" w:eastAsia="仿宋" w:cs="仿宋"/>
                <w:b/>
                <w:bCs/>
                <w:color w:val="000000"/>
                <w:sz w:val="21"/>
                <w:lang w:eastAsia="zh-CN"/>
              </w:rPr>
              <w:t>（</w:t>
            </w:r>
            <w:r>
              <w:rPr>
                <w:rFonts w:hint="eastAsia" w:ascii="仿宋" w:hAnsi="仿宋" w:eastAsia="仿宋" w:cs="仿宋"/>
                <w:b/>
                <w:bCs/>
                <w:color w:val="000000"/>
                <w:sz w:val="21"/>
                <w:lang w:val="en-US" w:eastAsia="zh-CN"/>
              </w:rPr>
              <w:t>需出具合法VPN相关证明和年度规划）</w:t>
            </w:r>
            <w:r>
              <w:rPr>
                <w:rFonts w:hint="eastAsia" w:ascii="仿宋" w:hAnsi="仿宋" w:eastAsia="仿宋" w:cs="仿宋"/>
                <w:b/>
                <w:bCs/>
                <w:color w:val="000000"/>
                <w:sz w:val="21"/>
              </w:rPr>
              <w:t>优秀得4–5分，良好得2–3分，一般得0–1分。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65" w:type="dxa"/>
            <w:vMerge w:val="continue"/>
            <w:vAlign w:val="center"/>
          </w:tcPr>
          <w:p>
            <w:pPr>
              <w:spacing w:line="240" w:lineRule="auto"/>
              <w:ind w:firstLine="0" w:firstLineChars="0"/>
              <w:jc w:val="center"/>
              <w:rPr>
                <w:rFonts w:ascii="仿宋_GB2312" w:eastAsia="仿宋_GB2312"/>
                <w:b/>
                <w:color w:val="000000"/>
                <w:sz w:val="21"/>
              </w:rPr>
            </w:pPr>
          </w:p>
        </w:tc>
        <w:tc>
          <w:tcPr>
            <w:tcW w:w="735" w:type="dxa"/>
            <w:vMerge w:val="continue"/>
            <w:vAlign w:val="center"/>
          </w:tcPr>
          <w:p>
            <w:pPr>
              <w:spacing w:line="240" w:lineRule="auto"/>
              <w:ind w:firstLine="0" w:firstLineChars="0"/>
              <w:jc w:val="center"/>
              <w:rPr>
                <w:rFonts w:ascii="仿宋_GB2312" w:eastAsia="仿宋_GB2312"/>
                <w:b/>
                <w:color w:val="000000"/>
                <w:sz w:val="21"/>
              </w:rPr>
            </w:pPr>
          </w:p>
        </w:tc>
        <w:tc>
          <w:tcPr>
            <w:tcW w:w="1259" w:type="dxa"/>
            <w:vMerge w:val="continue"/>
            <w:vAlign w:val="center"/>
          </w:tcPr>
          <w:p>
            <w:pPr>
              <w:spacing w:line="240" w:lineRule="auto"/>
              <w:ind w:firstLine="0" w:firstLineChars="0"/>
              <w:jc w:val="center"/>
              <w:rPr>
                <w:rFonts w:ascii="仿宋_GB2312" w:eastAsia="仿宋_GB2312"/>
                <w:b/>
                <w:color w:val="000000"/>
                <w:sz w:val="21"/>
              </w:rPr>
            </w:pPr>
          </w:p>
        </w:tc>
        <w:tc>
          <w:tcPr>
            <w:tcW w:w="839" w:type="dxa"/>
            <w:vAlign w:val="center"/>
          </w:tcPr>
          <w:p>
            <w:pPr>
              <w:spacing w:line="240" w:lineRule="auto"/>
              <w:ind w:firstLine="0" w:firstLineChars="0"/>
              <w:jc w:val="center"/>
              <w:rPr>
                <w:rFonts w:hint="eastAsia" w:ascii="仿宋_GB2312" w:eastAsia="仿宋_GB2312"/>
                <w:color w:val="000000"/>
                <w:sz w:val="21"/>
                <w:lang w:eastAsia="zh-CN"/>
              </w:rPr>
            </w:pPr>
            <w:r>
              <w:rPr>
                <w:rFonts w:hint="eastAsia" w:ascii="仿宋_GB2312" w:eastAsia="仿宋_GB2312"/>
                <w:b/>
                <w:color w:val="000000"/>
                <w:sz w:val="21"/>
                <w:lang w:val="en-US" w:eastAsia="zh-CN"/>
              </w:rPr>
              <w:t>7</w:t>
            </w:r>
            <w:r>
              <w:rPr>
                <w:rFonts w:hint="eastAsia" w:ascii="仿宋_GB2312" w:eastAsia="仿宋_GB2312"/>
                <w:b/>
                <w:color w:val="000000"/>
                <w:sz w:val="21"/>
                <w:lang w:eastAsia="zh-CN"/>
              </w:rPr>
              <w:t>分</w:t>
            </w:r>
          </w:p>
        </w:tc>
        <w:tc>
          <w:tcPr>
            <w:tcW w:w="4417" w:type="dxa"/>
            <w:vAlign w:val="center"/>
          </w:tcPr>
          <w:p>
            <w:pPr>
              <w:tabs>
                <w:tab w:val="left" w:pos="7854"/>
              </w:tabs>
              <w:spacing w:line="240" w:lineRule="auto"/>
              <w:ind w:firstLine="0" w:firstLineChars="0"/>
              <w:rPr>
                <w:rFonts w:ascii="仿宋_GB2312" w:eastAsia="仿宋_GB2312"/>
                <w:color w:val="000000"/>
                <w:sz w:val="21"/>
              </w:rPr>
            </w:pPr>
            <w:r>
              <w:rPr>
                <w:rFonts w:hint="eastAsia" w:ascii="仿宋" w:hAnsi="仿宋" w:eastAsia="仿宋" w:cs="仿宋"/>
                <w:b/>
                <w:bCs/>
                <w:color w:val="000000"/>
                <w:sz w:val="21"/>
              </w:rPr>
              <w:t>短视频内容策划与执行方案的创意性、平台适配性、引流能力。</w:t>
            </w:r>
            <w:r>
              <w:rPr>
                <w:rFonts w:hint="eastAsia" w:ascii="仿宋" w:hAnsi="仿宋" w:eastAsia="仿宋" w:cs="仿宋"/>
                <w:b/>
                <w:bCs/>
                <w:color w:val="000000"/>
                <w:sz w:val="21"/>
                <w:lang w:eastAsia="zh-CN"/>
              </w:rPr>
              <w:t>（</w:t>
            </w:r>
            <w:r>
              <w:rPr>
                <w:rFonts w:hint="eastAsia" w:ascii="仿宋" w:hAnsi="仿宋" w:eastAsia="仿宋" w:cs="仿宋"/>
                <w:b/>
                <w:bCs/>
                <w:color w:val="000000"/>
                <w:sz w:val="21"/>
                <w:lang w:val="en-US" w:eastAsia="zh-CN"/>
              </w:rPr>
              <w:t>需出具短视频投流平台及案例展示，短视频发布视频类型和内容策划案）</w:t>
            </w:r>
            <w:r>
              <w:rPr>
                <w:rFonts w:hint="eastAsia" w:ascii="仿宋" w:hAnsi="仿宋" w:eastAsia="仿宋" w:cs="仿宋"/>
                <w:b/>
                <w:bCs/>
                <w:color w:val="000000"/>
                <w:sz w:val="21"/>
              </w:rPr>
              <w:t>优秀得</w:t>
            </w:r>
            <w:r>
              <w:rPr>
                <w:rFonts w:hint="eastAsia" w:ascii="仿宋" w:hAnsi="仿宋" w:eastAsia="仿宋" w:cs="仿宋"/>
                <w:b/>
                <w:bCs/>
                <w:color w:val="000000"/>
                <w:sz w:val="21"/>
                <w:lang w:val="en-US" w:eastAsia="zh-CN"/>
              </w:rPr>
              <w:t>5</w:t>
            </w:r>
            <w:r>
              <w:rPr>
                <w:rFonts w:hint="eastAsia" w:ascii="仿宋" w:hAnsi="仿宋" w:eastAsia="仿宋" w:cs="仿宋"/>
                <w:b/>
                <w:bCs/>
                <w:color w:val="000000"/>
                <w:sz w:val="21"/>
              </w:rPr>
              <w:t>–</w:t>
            </w:r>
            <w:r>
              <w:rPr>
                <w:rFonts w:hint="eastAsia" w:ascii="仿宋" w:hAnsi="仿宋" w:eastAsia="仿宋" w:cs="仿宋"/>
                <w:b/>
                <w:bCs/>
                <w:color w:val="000000"/>
                <w:sz w:val="21"/>
                <w:lang w:val="en-US" w:eastAsia="zh-CN"/>
              </w:rPr>
              <w:t>7</w:t>
            </w:r>
            <w:r>
              <w:rPr>
                <w:rFonts w:hint="eastAsia" w:ascii="仿宋" w:hAnsi="仿宋" w:eastAsia="仿宋" w:cs="仿宋"/>
                <w:b/>
                <w:bCs/>
                <w:color w:val="000000"/>
                <w:sz w:val="21"/>
              </w:rPr>
              <w:t>分，良好得2–</w:t>
            </w:r>
            <w:r>
              <w:rPr>
                <w:rFonts w:hint="eastAsia" w:ascii="仿宋" w:hAnsi="仿宋" w:eastAsia="仿宋" w:cs="仿宋"/>
                <w:b/>
                <w:bCs/>
                <w:color w:val="000000"/>
                <w:sz w:val="21"/>
                <w:lang w:val="en-US" w:eastAsia="zh-CN"/>
              </w:rPr>
              <w:t>4</w:t>
            </w:r>
            <w:r>
              <w:rPr>
                <w:rFonts w:hint="eastAsia" w:ascii="仿宋" w:hAnsi="仿宋" w:eastAsia="仿宋" w:cs="仿宋"/>
                <w:b/>
                <w:bCs/>
                <w:color w:val="000000"/>
                <w:sz w:val="21"/>
              </w:rPr>
              <w:t>分，一般得0–</w:t>
            </w:r>
            <w:r>
              <w:rPr>
                <w:rFonts w:hint="eastAsia" w:ascii="仿宋" w:hAnsi="仿宋" w:eastAsia="仿宋" w:cs="仿宋"/>
                <w:b/>
                <w:bCs/>
                <w:color w:val="000000"/>
                <w:sz w:val="21"/>
                <w:lang w:val="en-US" w:eastAsia="zh-CN"/>
              </w:rPr>
              <w:t>1</w:t>
            </w:r>
            <w:r>
              <w:rPr>
                <w:rFonts w:hint="eastAsia" w:ascii="仿宋" w:hAnsi="仿宋" w:eastAsia="仿宋" w:cs="仿宋"/>
                <w:b/>
                <w:bCs/>
                <w:color w:val="000000"/>
                <w:sz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65" w:type="dxa"/>
            <w:vMerge w:val="continue"/>
            <w:vAlign w:val="center"/>
          </w:tcPr>
          <w:p>
            <w:pPr>
              <w:widowControl/>
              <w:spacing w:line="240" w:lineRule="auto"/>
              <w:ind w:firstLine="0" w:firstLineChars="0"/>
              <w:jc w:val="left"/>
              <w:rPr>
                <w:color w:val="000000"/>
                <w:sz w:val="21"/>
              </w:rPr>
            </w:pPr>
          </w:p>
        </w:tc>
        <w:tc>
          <w:tcPr>
            <w:tcW w:w="735" w:type="dxa"/>
            <w:vMerge w:val="continue"/>
            <w:vAlign w:val="center"/>
          </w:tcPr>
          <w:p>
            <w:pPr>
              <w:widowControl/>
              <w:spacing w:line="240" w:lineRule="auto"/>
              <w:ind w:firstLine="0" w:firstLineChars="0"/>
              <w:jc w:val="left"/>
              <w:rPr>
                <w:color w:val="000000"/>
                <w:sz w:val="21"/>
              </w:rPr>
            </w:pPr>
          </w:p>
        </w:tc>
        <w:tc>
          <w:tcPr>
            <w:tcW w:w="1259" w:type="dxa"/>
            <w:vMerge w:val="continue"/>
            <w:vAlign w:val="center"/>
          </w:tcPr>
          <w:p>
            <w:pPr>
              <w:widowControl/>
              <w:spacing w:line="240" w:lineRule="auto"/>
              <w:ind w:firstLine="0" w:firstLineChars="0"/>
              <w:jc w:val="left"/>
              <w:rPr>
                <w:color w:val="000000"/>
                <w:sz w:val="21"/>
              </w:rPr>
            </w:pPr>
          </w:p>
        </w:tc>
        <w:tc>
          <w:tcPr>
            <w:tcW w:w="839" w:type="dxa"/>
            <w:vAlign w:val="center"/>
          </w:tcPr>
          <w:p>
            <w:pPr>
              <w:spacing w:line="240" w:lineRule="auto"/>
              <w:ind w:firstLine="0" w:firstLineChars="0"/>
              <w:jc w:val="center"/>
              <w:rPr>
                <w:rFonts w:hint="eastAsia" w:ascii="仿宋_GB2312" w:eastAsia="仿宋_GB2312"/>
                <w:color w:val="000000"/>
                <w:sz w:val="21"/>
                <w:lang w:eastAsia="zh-CN"/>
              </w:rPr>
            </w:pPr>
            <w:r>
              <w:rPr>
                <w:rFonts w:hint="eastAsia" w:ascii="仿宋_GB2312" w:eastAsia="仿宋_GB2312"/>
                <w:b/>
                <w:color w:val="000000"/>
                <w:sz w:val="21"/>
                <w:lang w:val="en-US" w:eastAsia="zh-CN"/>
              </w:rPr>
              <w:t>7</w:t>
            </w:r>
            <w:r>
              <w:rPr>
                <w:rFonts w:hint="eastAsia" w:ascii="仿宋_GB2312" w:eastAsia="仿宋_GB2312"/>
                <w:b/>
                <w:color w:val="000000"/>
                <w:sz w:val="21"/>
                <w:lang w:eastAsia="zh-CN"/>
              </w:rPr>
              <w:t>分</w:t>
            </w:r>
          </w:p>
        </w:tc>
        <w:tc>
          <w:tcPr>
            <w:tcW w:w="4417" w:type="dxa"/>
            <w:vAlign w:val="center"/>
          </w:tcPr>
          <w:p>
            <w:pPr>
              <w:tabs>
                <w:tab w:val="left" w:pos="7854"/>
              </w:tabs>
              <w:spacing w:line="240" w:lineRule="auto"/>
              <w:ind w:firstLine="0" w:firstLineChars="0"/>
              <w:rPr>
                <w:rFonts w:hint="eastAsia" w:ascii="仿宋" w:hAnsi="仿宋" w:eastAsia="仿宋" w:cs="仿宋"/>
                <w:b/>
                <w:bCs/>
                <w:color w:val="000000"/>
                <w:sz w:val="21"/>
              </w:rPr>
            </w:pPr>
            <w:r>
              <w:rPr>
                <w:rFonts w:hint="eastAsia" w:ascii="仿宋" w:hAnsi="仿宋" w:eastAsia="仿宋" w:cs="仿宋"/>
                <w:b/>
                <w:bCs/>
                <w:color w:val="000000"/>
                <w:sz w:val="21"/>
              </w:rPr>
              <w:t>直播执行方案的完整性、技术手段应用、观感提升措施、引流策略。</w:t>
            </w:r>
            <w:r>
              <w:rPr>
                <w:rFonts w:hint="eastAsia" w:ascii="仿宋" w:hAnsi="仿宋" w:eastAsia="仿宋" w:cs="仿宋"/>
                <w:b/>
                <w:bCs/>
                <w:color w:val="000000"/>
                <w:sz w:val="21"/>
                <w:lang w:eastAsia="zh-CN"/>
              </w:rPr>
              <w:t>（</w:t>
            </w:r>
            <w:r>
              <w:rPr>
                <w:rFonts w:hint="eastAsia" w:ascii="仿宋" w:hAnsi="仿宋" w:eastAsia="仿宋" w:cs="仿宋"/>
                <w:b/>
                <w:bCs/>
                <w:color w:val="000000"/>
                <w:sz w:val="21"/>
                <w:lang w:val="en-US" w:eastAsia="zh-CN"/>
              </w:rPr>
              <w:t>需出具直播设备清单，直播场景布置图，投流平台及案例等）</w:t>
            </w:r>
            <w:r>
              <w:rPr>
                <w:rFonts w:hint="eastAsia" w:ascii="仿宋" w:hAnsi="仿宋" w:eastAsia="仿宋" w:cs="仿宋"/>
                <w:b/>
                <w:bCs/>
                <w:color w:val="000000"/>
                <w:sz w:val="21"/>
              </w:rPr>
              <w:t>优秀得</w:t>
            </w:r>
            <w:r>
              <w:rPr>
                <w:rFonts w:hint="eastAsia" w:ascii="仿宋" w:hAnsi="仿宋" w:eastAsia="仿宋" w:cs="仿宋"/>
                <w:b/>
                <w:bCs/>
                <w:color w:val="000000"/>
                <w:sz w:val="21"/>
                <w:lang w:val="en-US" w:eastAsia="zh-CN"/>
              </w:rPr>
              <w:t>5</w:t>
            </w:r>
            <w:r>
              <w:rPr>
                <w:rFonts w:hint="eastAsia" w:ascii="仿宋" w:hAnsi="仿宋" w:eastAsia="仿宋" w:cs="仿宋"/>
                <w:b/>
                <w:bCs/>
                <w:color w:val="000000"/>
                <w:sz w:val="21"/>
              </w:rPr>
              <w:t>–</w:t>
            </w:r>
            <w:r>
              <w:rPr>
                <w:rFonts w:hint="eastAsia" w:ascii="仿宋" w:hAnsi="仿宋" w:eastAsia="仿宋" w:cs="仿宋"/>
                <w:b/>
                <w:bCs/>
                <w:color w:val="000000"/>
                <w:sz w:val="21"/>
                <w:lang w:val="en-US" w:eastAsia="zh-CN"/>
              </w:rPr>
              <w:t>7</w:t>
            </w:r>
            <w:r>
              <w:rPr>
                <w:rFonts w:hint="eastAsia" w:ascii="仿宋" w:hAnsi="仿宋" w:eastAsia="仿宋" w:cs="仿宋"/>
                <w:b/>
                <w:bCs/>
                <w:color w:val="000000"/>
                <w:sz w:val="21"/>
              </w:rPr>
              <w:t>分，良好得</w:t>
            </w:r>
            <w:r>
              <w:rPr>
                <w:rFonts w:hint="eastAsia" w:ascii="仿宋" w:hAnsi="仿宋" w:eastAsia="仿宋" w:cs="仿宋"/>
                <w:b/>
                <w:bCs/>
                <w:color w:val="000000"/>
                <w:sz w:val="21"/>
                <w:lang w:val="en-US" w:eastAsia="zh-CN"/>
              </w:rPr>
              <w:t>2</w:t>
            </w:r>
            <w:r>
              <w:rPr>
                <w:rFonts w:hint="eastAsia" w:ascii="仿宋" w:hAnsi="仿宋" w:eastAsia="仿宋" w:cs="仿宋"/>
                <w:b/>
                <w:bCs/>
                <w:color w:val="000000"/>
                <w:sz w:val="21"/>
              </w:rPr>
              <w:t>–</w:t>
            </w:r>
            <w:r>
              <w:rPr>
                <w:rFonts w:hint="eastAsia" w:ascii="仿宋" w:hAnsi="仿宋" w:eastAsia="仿宋" w:cs="仿宋"/>
                <w:b/>
                <w:bCs/>
                <w:color w:val="000000"/>
                <w:sz w:val="21"/>
                <w:lang w:val="en-US" w:eastAsia="zh-CN"/>
              </w:rPr>
              <w:t>4</w:t>
            </w:r>
            <w:r>
              <w:rPr>
                <w:rFonts w:hint="eastAsia" w:ascii="仿宋" w:hAnsi="仿宋" w:eastAsia="仿宋" w:cs="仿宋"/>
                <w:b/>
                <w:bCs/>
                <w:color w:val="000000"/>
                <w:sz w:val="21"/>
              </w:rPr>
              <w:t>分，一般得0–</w:t>
            </w:r>
            <w:r>
              <w:rPr>
                <w:rFonts w:hint="eastAsia" w:ascii="仿宋" w:hAnsi="仿宋" w:eastAsia="仿宋" w:cs="仿宋"/>
                <w:b/>
                <w:bCs/>
                <w:color w:val="000000"/>
                <w:sz w:val="21"/>
                <w:lang w:val="en-US" w:eastAsia="zh-CN"/>
              </w:rPr>
              <w:t>1</w:t>
            </w:r>
            <w:r>
              <w:rPr>
                <w:rFonts w:hint="eastAsia" w:ascii="仿宋" w:hAnsi="仿宋" w:eastAsia="仿宋" w:cs="仿宋"/>
                <w:b/>
                <w:bCs/>
                <w:color w:val="000000"/>
                <w:sz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65" w:type="dxa"/>
            <w:vMerge w:val="continue"/>
            <w:vAlign w:val="center"/>
          </w:tcPr>
          <w:p>
            <w:pPr>
              <w:widowControl/>
              <w:spacing w:line="240" w:lineRule="auto"/>
              <w:ind w:firstLine="0" w:firstLineChars="0"/>
              <w:jc w:val="left"/>
              <w:rPr>
                <w:rFonts w:ascii="仿宋_GB2312" w:eastAsia="仿宋_GB2312"/>
                <w:color w:val="000000"/>
                <w:sz w:val="21"/>
              </w:rPr>
            </w:pPr>
          </w:p>
        </w:tc>
        <w:tc>
          <w:tcPr>
            <w:tcW w:w="735" w:type="dxa"/>
            <w:vMerge w:val="continue"/>
            <w:vAlign w:val="center"/>
          </w:tcPr>
          <w:p>
            <w:pPr>
              <w:widowControl/>
              <w:spacing w:line="240" w:lineRule="auto"/>
              <w:ind w:firstLine="0" w:firstLineChars="0"/>
              <w:jc w:val="left"/>
              <w:rPr>
                <w:rFonts w:ascii="仿宋_GB2312" w:eastAsia="仿宋_GB2312"/>
                <w:color w:val="000000"/>
                <w:sz w:val="21"/>
              </w:rPr>
            </w:pPr>
          </w:p>
        </w:tc>
        <w:tc>
          <w:tcPr>
            <w:tcW w:w="1259" w:type="dxa"/>
            <w:vMerge w:val="continue"/>
            <w:vAlign w:val="center"/>
          </w:tcPr>
          <w:p>
            <w:pPr>
              <w:widowControl/>
              <w:spacing w:line="240" w:lineRule="auto"/>
              <w:ind w:firstLine="0" w:firstLineChars="0"/>
              <w:jc w:val="left"/>
              <w:rPr>
                <w:rFonts w:ascii="仿宋_GB2312" w:eastAsia="仿宋_GB2312"/>
                <w:color w:val="000000"/>
                <w:sz w:val="21"/>
              </w:rPr>
            </w:pPr>
          </w:p>
        </w:tc>
        <w:tc>
          <w:tcPr>
            <w:tcW w:w="839" w:type="dxa"/>
            <w:vAlign w:val="center"/>
          </w:tcPr>
          <w:p>
            <w:pPr>
              <w:spacing w:line="240" w:lineRule="auto"/>
              <w:ind w:firstLine="0" w:firstLineChars="0"/>
              <w:jc w:val="center"/>
              <w:rPr>
                <w:rFonts w:hint="eastAsia" w:ascii="仿宋_GB2312" w:eastAsia="仿宋_GB2312"/>
                <w:color w:val="000000"/>
                <w:sz w:val="21"/>
                <w:lang w:eastAsia="zh-CN"/>
              </w:rPr>
            </w:pPr>
            <w:r>
              <w:rPr>
                <w:rFonts w:hint="eastAsia" w:ascii="仿宋_GB2312" w:eastAsia="仿宋_GB2312"/>
                <w:b/>
                <w:color w:val="000000"/>
                <w:sz w:val="21"/>
                <w:lang w:val="en-US" w:eastAsia="zh-CN"/>
              </w:rPr>
              <w:t>7</w:t>
            </w:r>
            <w:r>
              <w:rPr>
                <w:rFonts w:hint="eastAsia" w:ascii="仿宋_GB2312" w:eastAsia="仿宋_GB2312"/>
                <w:b/>
                <w:color w:val="000000"/>
                <w:sz w:val="21"/>
                <w:lang w:eastAsia="zh-CN"/>
              </w:rPr>
              <w:t>分</w:t>
            </w:r>
          </w:p>
        </w:tc>
        <w:tc>
          <w:tcPr>
            <w:tcW w:w="4417" w:type="dxa"/>
            <w:vAlign w:val="center"/>
          </w:tcPr>
          <w:p>
            <w:pPr>
              <w:tabs>
                <w:tab w:val="left" w:pos="7854"/>
              </w:tabs>
              <w:spacing w:line="240" w:lineRule="auto"/>
              <w:ind w:firstLine="0" w:firstLineChars="0"/>
              <w:rPr>
                <w:rFonts w:hint="eastAsia" w:ascii="仿宋" w:hAnsi="仿宋" w:eastAsia="仿宋" w:cs="仿宋"/>
                <w:b/>
                <w:bCs/>
                <w:color w:val="000000"/>
                <w:sz w:val="21"/>
              </w:rPr>
            </w:pPr>
            <w:r>
              <w:rPr>
                <w:rFonts w:hint="eastAsia" w:ascii="仿宋" w:hAnsi="仿宋" w:eastAsia="仿宋" w:cs="仿宋"/>
                <w:b/>
                <w:bCs/>
                <w:color w:val="000000"/>
                <w:sz w:val="21"/>
              </w:rPr>
              <w:t>数据复盘与分析能力的科学性、分析维度完整性、竞品洞察能力。（提供相关平台合同或者会员证明）优秀得</w:t>
            </w:r>
            <w:r>
              <w:rPr>
                <w:rFonts w:hint="eastAsia" w:ascii="仿宋" w:hAnsi="仿宋" w:eastAsia="仿宋" w:cs="仿宋"/>
                <w:b/>
                <w:bCs/>
                <w:color w:val="000000"/>
                <w:sz w:val="21"/>
                <w:lang w:val="en-US" w:eastAsia="zh-CN"/>
              </w:rPr>
              <w:t>5</w:t>
            </w:r>
            <w:r>
              <w:rPr>
                <w:rFonts w:hint="eastAsia" w:ascii="仿宋" w:hAnsi="仿宋" w:eastAsia="仿宋" w:cs="仿宋"/>
                <w:b/>
                <w:bCs/>
                <w:color w:val="000000"/>
                <w:sz w:val="21"/>
              </w:rPr>
              <w:t>–</w:t>
            </w:r>
            <w:r>
              <w:rPr>
                <w:rFonts w:hint="eastAsia" w:ascii="仿宋" w:hAnsi="仿宋" w:eastAsia="仿宋" w:cs="仿宋"/>
                <w:b/>
                <w:bCs/>
                <w:color w:val="000000"/>
                <w:sz w:val="21"/>
                <w:lang w:val="en-US" w:eastAsia="zh-CN"/>
              </w:rPr>
              <w:t>7</w:t>
            </w:r>
            <w:r>
              <w:rPr>
                <w:rFonts w:hint="eastAsia" w:ascii="仿宋" w:hAnsi="仿宋" w:eastAsia="仿宋" w:cs="仿宋"/>
                <w:b/>
                <w:bCs/>
                <w:color w:val="000000"/>
                <w:sz w:val="21"/>
              </w:rPr>
              <w:t>分，良好得2–</w:t>
            </w:r>
            <w:r>
              <w:rPr>
                <w:rFonts w:hint="eastAsia" w:ascii="仿宋" w:hAnsi="仿宋" w:eastAsia="仿宋" w:cs="仿宋"/>
                <w:b/>
                <w:bCs/>
                <w:color w:val="000000"/>
                <w:sz w:val="21"/>
                <w:lang w:val="en-US" w:eastAsia="zh-CN"/>
              </w:rPr>
              <w:t>4</w:t>
            </w:r>
            <w:r>
              <w:rPr>
                <w:rFonts w:hint="eastAsia" w:ascii="仿宋" w:hAnsi="仿宋" w:eastAsia="仿宋" w:cs="仿宋"/>
                <w:b/>
                <w:bCs/>
                <w:color w:val="000000"/>
                <w:sz w:val="21"/>
              </w:rPr>
              <w:t>分，一般得0–1分。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65" w:type="dxa"/>
            <w:vMerge w:val="continue"/>
            <w:vAlign w:val="center"/>
          </w:tcPr>
          <w:p>
            <w:pPr>
              <w:widowControl/>
              <w:spacing w:line="240" w:lineRule="auto"/>
              <w:ind w:firstLine="0" w:firstLineChars="0"/>
              <w:jc w:val="left"/>
              <w:rPr>
                <w:rFonts w:ascii="仿宋_GB2312" w:eastAsia="仿宋_GB2312"/>
                <w:color w:val="000000"/>
                <w:sz w:val="21"/>
              </w:rPr>
            </w:pPr>
          </w:p>
        </w:tc>
        <w:tc>
          <w:tcPr>
            <w:tcW w:w="735" w:type="dxa"/>
            <w:vMerge w:val="continue"/>
            <w:vAlign w:val="center"/>
          </w:tcPr>
          <w:p>
            <w:pPr>
              <w:widowControl/>
              <w:spacing w:line="240" w:lineRule="auto"/>
              <w:ind w:firstLine="0" w:firstLineChars="0"/>
              <w:jc w:val="left"/>
              <w:rPr>
                <w:rFonts w:ascii="仿宋_GB2312" w:eastAsia="仿宋_GB2312"/>
                <w:color w:val="000000"/>
                <w:sz w:val="21"/>
              </w:rPr>
            </w:pPr>
          </w:p>
        </w:tc>
        <w:tc>
          <w:tcPr>
            <w:tcW w:w="1259" w:type="dxa"/>
            <w:vMerge w:val="continue"/>
            <w:vAlign w:val="center"/>
          </w:tcPr>
          <w:p>
            <w:pPr>
              <w:widowControl/>
              <w:spacing w:line="240" w:lineRule="auto"/>
              <w:ind w:firstLine="0" w:firstLineChars="0"/>
              <w:jc w:val="left"/>
              <w:rPr>
                <w:rFonts w:ascii="仿宋_GB2312" w:eastAsia="仿宋_GB2312"/>
                <w:color w:val="000000"/>
                <w:sz w:val="21"/>
              </w:rPr>
            </w:pPr>
          </w:p>
        </w:tc>
        <w:tc>
          <w:tcPr>
            <w:tcW w:w="839" w:type="dxa"/>
            <w:vAlign w:val="center"/>
          </w:tcPr>
          <w:p>
            <w:pPr>
              <w:spacing w:line="240" w:lineRule="auto"/>
              <w:ind w:firstLine="0" w:firstLineChars="0"/>
              <w:jc w:val="center"/>
              <w:rPr>
                <w:rFonts w:hint="eastAsia" w:ascii="仿宋_GB2312" w:eastAsia="仿宋_GB2312"/>
                <w:color w:val="000000"/>
                <w:sz w:val="21"/>
                <w:lang w:eastAsia="zh-CN"/>
              </w:rPr>
            </w:pPr>
            <w:r>
              <w:rPr>
                <w:rFonts w:hint="eastAsia" w:ascii="仿宋_GB2312" w:eastAsia="仿宋_GB2312"/>
                <w:b/>
                <w:color w:val="000000"/>
                <w:sz w:val="21"/>
                <w:lang w:val="en-US" w:eastAsia="zh-CN"/>
              </w:rPr>
              <w:t>5</w:t>
            </w:r>
            <w:r>
              <w:rPr>
                <w:rFonts w:hint="eastAsia" w:ascii="仿宋_GB2312" w:eastAsia="仿宋_GB2312"/>
                <w:b/>
                <w:color w:val="000000"/>
                <w:sz w:val="21"/>
                <w:lang w:eastAsia="zh-CN"/>
              </w:rPr>
              <w:t>分</w:t>
            </w:r>
          </w:p>
        </w:tc>
        <w:tc>
          <w:tcPr>
            <w:tcW w:w="4417" w:type="dxa"/>
            <w:vAlign w:val="center"/>
          </w:tcPr>
          <w:p>
            <w:pPr>
              <w:tabs>
                <w:tab w:val="left" w:pos="7854"/>
              </w:tabs>
              <w:spacing w:line="240" w:lineRule="auto"/>
              <w:ind w:firstLine="0" w:firstLineChars="0"/>
              <w:rPr>
                <w:rFonts w:hint="eastAsia" w:ascii="仿宋" w:hAnsi="仿宋" w:eastAsia="仿宋" w:cs="仿宋"/>
                <w:b/>
                <w:bCs/>
                <w:color w:val="000000"/>
                <w:sz w:val="21"/>
              </w:rPr>
            </w:pPr>
            <w:r>
              <w:rPr>
                <w:rFonts w:hint="eastAsia" w:ascii="仿宋" w:hAnsi="仿宋" w:eastAsia="仿宋" w:cs="仿宋"/>
                <w:b/>
                <w:bCs/>
                <w:color w:val="000000"/>
                <w:sz w:val="21"/>
              </w:rPr>
              <w:t>对平台规则、热点话题的敏感度与响应能力。</w:t>
            </w:r>
            <w:r>
              <w:rPr>
                <w:rFonts w:hint="eastAsia" w:ascii="仿宋" w:hAnsi="仿宋" w:eastAsia="仿宋" w:cs="仿宋"/>
                <w:b/>
                <w:bCs/>
                <w:color w:val="000000"/>
                <w:sz w:val="21"/>
                <w:lang w:eastAsia="zh-CN"/>
              </w:rPr>
              <w:t>（</w:t>
            </w:r>
            <w:r>
              <w:rPr>
                <w:rFonts w:hint="eastAsia" w:ascii="仿宋" w:hAnsi="仿宋" w:eastAsia="仿宋" w:cs="仿宋"/>
                <w:b/>
                <w:bCs/>
                <w:color w:val="000000"/>
                <w:sz w:val="21"/>
                <w:lang w:val="en-US" w:eastAsia="zh-CN"/>
              </w:rPr>
              <w:t>需展示之前案例）</w:t>
            </w:r>
            <w:r>
              <w:rPr>
                <w:rFonts w:hint="eastAsia" w:ascii="仿宋" w:hAnsi="仿宋" w:eastAsia="仿宋" w:cs="仿宋"/>
                <w:b/>
                <w:bCs/>
                <w:color w:val="000000"/>
                <w:sz w:val="21"/>
              </w:rPr>
              <w:t>优秀得</w:t>
            </w:r>
            <w:r>
              <w:rPr>
                <w:rFonts w:hint="eastAsia" w:ascii="仿宋" w:hAnsi="仿宋" w:eastAsia="仿宋" w:cs="仿宋"/>
                <w:b/>
                <w:bCs/>
                <w:color w:val="000000"/>
                <w:sz w:val="21"/>
                <w:lang w:val="en-US" w:eastAsia="zh-CN"/>
              </w:rPr>
              <w:t>5</w:t>
            </w:r>
            <w:r>
              <w:rPr>
                <w:rFonts w:hint="eastAsia" w:ascii="仿宋" w:hAnsi="仿宋" w:eastAsia="仿宋" w:cs="仿宋"/>
                <w:b/>
                <w:bCs/>
                <w:color w:val="000000"/>
                <w:sz w:val="21"/>
              </w:rPr>
              <w:t>分，一般得</w:t>
            </w:r>
            <w:r>
              <w:rPr>
                <w:rFonts w:hint="eastAsia" w:ascii="仿宋" w:hAnsi="仿宋" w:eastAsia="仿宋" w:cs="仿宋"/>
                <w:b/>
                <w:bCs/>
                <w:color w:val="000000"/>
                <w:sz w:val="21"/>
                <w:lang w:val="en-US" w:eastAsia="zh-CN"/>
              </w:rPr>
              <w:t>2-4</w:t>
            </w:r>
            <w:r>
              <w:rPr>
                <w:rFonts w:hint="eastAsia" w:ascii="仿宋" w:hAnsi="仿宋" w:eastAsia="仿宋" w:cs="仿宋"/>
                <w:b/>
                <w:bCs/>
                <w:color w:val="000000"/>
                <w:sz w:val="21"/>
              </w:rPr>
              <w:t>分，差得0</w:t>
            </w:r>
            <w:r>
              <w:rPr>
                <w:rFonts w:hint="eastAsia" w:ascii="仿宋" w:hAnsi="仿宋" w:eastAsia="仿宋" w:cs="仿宋"/>
                <w:b/>
                <w:bCs/>
                <w:color w:val="000000"/>
                <w:sz w:val="21"/>
                <w:lang w:val="en-US" w:eastAsia="zh-CN"/>
              </w:rPr>
              <w:t>-1</w:t>
            </w:r>
            <w:r>
              <w:rPr>
                <w:rFonts w:hint="eastAsia" w:ascii="仿宋" w:hAnsi="仿宋" w:eastAsia="仿宋" w:cs="仿宋"/>
                <w:b/>
                <w:bCs/>
                <w:color w:val="000000"/>
                <w:sz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65" w:type="dxa"/>
            <w:vMerge w:val="continue"/>
            <w:vAlign w:val="center"/>
          </w:tcPr>
          <w:p>
            <w:pPr>
              <w:widowControl/>
              <w:spacing w:line="240" w:lineRule="auto"/>
              <w:ind w:firstLine="0" w:firstLineChars="0"/>
              <w:jc w:val="left"/>
              <w:rPr>
                <w:rFonts w:ascii="仿宋_GB2312" w:eastAsia="仿宋_GB2312"/>
                <w:color w:val="000000"/>
                <w:sz w:val="21"/>
              </w:rPr>
            </w:pPr>
          </w:p>
        </w:tc>
        <w:tc>
          <w:tcPr>
            <w:tcW w:w="735" w:type="dxa"/>
            <w:vMerge w:val="continue"/>
            <w:vAlign w:val="center"/>
          </w:tcPr>
          <w:p>
            <w:pPr>
              <w:widowControl/>
              <w:spacing w:line="240" w:lineRule="auto"/>
              <w:ind w:firstLine="0" w:firstLineChars="0"/>
              <w:jc w:val="left"/>
              <w:rPr>
                <w:rFonts w:ascii="仿宋_GB2312" w:eastAsia="仿宋_GB2312"/>
                <w:color w:val="000000"/>
                <w:sz w:val="21"/>
              </w:rPr>
            </w:pPr>
          </w:p>
        </w:tc>
        <w:tc>
          <w:tcPr>
            <w:tcW w:w="1259" w:type="dxa"/>
            <w:vMerge w:val="continue"/>
            <w:vAlign w:val="center"/>
          </w:tcPr>
          <w:p>
            <w:pPr>
              <w:widowControl/>
              <w:spacing w:line="240" w:lineRule="auto"/>
              <w:ind w:firstLine="0" w:firstLineChars="0"/>
              <w:jc w:val="left"/>
              <w:rPr>
                <w:rFonts w:ascii="仿宋_GB2312" w:eastAsia="仿宋_GB2312"/>
                <w:color w:val="000000"/>
                <w:sz w:val="21"/>
              </w:rPr>
            </w:pPr>
          </w:p>
        </w:tc>
        <w:tc>
          <w:tcPr>
            <w:tcW w:w="839" w:type="dxa"/>
            <w:vAlign w:val="center"/>
          </w:tcPr>
          <w:p>
            <w:pPr>
              <w:spacing w:line="240" w:lineRule="auto"/>
              <w:ind w:firstLine="0" w:firstLineChars="0"/>
              <w:jc w:val="center"/>
              <w:rPr>
                <w:rFonts w:hint="eastAsia" w:ascii="仿宋_GB2312" w:eastAsia="仿宋_GB2312"/>
                <w:color w:val="000000"/>
                <w:sz w:val="21"/>
                <w:lang w:eastAsia="zh-CN"/>
              </w:rPr>
            </w:pPr>
            <w:r>
              <w:rPr>
                <w:rFonts w:hint="eastAsia" w:ascii="仿宋_GB2312" w:eastAsia="仿宋_GB2312"/>
                <w:b/>
                <w:color w:val="000000"/>
                <w:sz w:val="21"/>
                <w:lang w:val="en-US" w:eastAsia="zh-CN"/>
              </w:rPr>
              <w:t>5</w:t>
            </w:r>
            <w:r>
              <w:rPr>
                <w:rFonts w:hint="eastAsia" w:ascii="仿宋_GB2312" w:eastAsia="仿宋_GB2312"/>
                <w:b/>
                <w:color w:val="000000"/>
                <w:sz w:val="21"/>
                <w:lang w:eastAsia="zh-CN"/>
              </w:rPr>
              <w:t>分</w:t>
            </w:r>
          </w:p>
        </w:tc>
        <w:tc>
          <w:tcPr>
            <w:tcW w:w="4417" w:type="dxa"/>
            <w:vAlign w:val="center"/>
          </w:tcPr>
          <w:p>
            <w:pPr>
              <w:tabs>
                <w:tab w:val="left" w:pos="7854"/>
              </w:tabs>
              <w:spacing w:line="240" w:lineRule="auto"/>
              <w:ind w:firstLine="0" w:firstLineChars="0"/>
              <w:rPr>
                <w:rFonts w:hint="eastAsia" w:ascii="仿宋" w:hAnsi="仿宋" w:eastAsia="仿宋" w:cs="仿宋"/>
                <w:b/>
                <w:bCs/>
                <w:color w:val="000000"/>
                <w:sz w:val="21"/>
              </w:rPr>
            </w:pPr>
            <w:r>
              <w:rPr>
                <w:rFonts w:hint="eastAsia" w:ascii="仿宋" w:hAnsi="仿宋" w:eastAsia="仿宋" w:cs="仿宋"/>
                <w:b/>
                <w:bCs/>
                <w:color w:val="000000"/>
                <w:sz w:val="21"/>
              </w:rPr>
              <w:t>IP形象设计的创意性、与企业文化的契合度、落地可行性。</w:t>
            </w:r>
            <w:r>
              <w:rPr>
                <w:rFonts w:hint="eastAsia" w:ascii="仿宋" w:hAnsi="仿宋" w:eastAsia="仿宋" w:cs="仿宋"/>
                <w:b/>
                <w:bCs/>
                <w:color w:val="000000"/>
                <w:sz w:val="21"/>
                <w:lang w:eastAsia="zh-CN"/>
              </w:rPr>
              <w:t>（</w:t>
            </w:r>
            <w:r>
              <w:rPr>
                <w:rFonts w:hint="eastAsia" w:ascii="仿宋" w:hAnsi="仿宋" w:eastAsia="仿宋" w:cs="仿宋"/>
                <w:b/>
                <w:bCs/>
                <w:color w:val="000000"/>
                <w:sz w:val="21"/>
                <w:lang w:val="en-US" w:eastAsia="zh-CN"/>
              </w:rPr>
              <w:t>需有IP形象的设计图）</w:t>
            </w:r>
            <w:r>
              <w:rPr>
                <w:rFonts w:hint="eastAsia" w:ascii="仿宋" w:hAnsi="仿宋" w:eastAsia="仿宋" w:cs="仿宋"/>
                <w:b/>
                <w:bCs/>
                <w:color w:val="000000"/>
                <w:sz w:val="21"/>
              </w:rPr>
              <w:t>优秀得</w:t>
            </w:r>
            <w:r>
              <w:rPr>
                <w:rFonts w:hint="eastAsia" w:ascii="仿宋" w:hAnsi="仿宋" w:eastAsia="仿宋" w:cs="仿宋"/>
                <w:b/>
                <w:bCs/>
                <w:color w:val="000000"/>
                <w:sz w:val="21"/>
                <w:lang w:val="en-US" w:eastAsia="zh-CN"/>
              </w:rPr>
              <w:t>4-5</w:t>
            </w:r>
            <w:r>
              <w:rPr>
                <w:rFonts w:hint="eastAsia" w:ascii="仿宋" w:hAnsi="仿宋" w:eastAsia="仿宋" w:cs="仿宋"/>
                <w:b/>
                <w:bCs/>
                <w:color w:val="000000"/>
                <w:sz w:val="21"/>
              </w:rPr>
              <w:t>分，良好得2</w:t>
            </w:r>
            <w:r>
              <w:rPr>
                <w:rFonts w:hint="eastAsia" w:ascii="仿宋" w:hAnsi="仿宋" w:eastAsia="仿宋" w:cs="仿宋"/>
                <w:b/>
                <w:bCs/>
                <w:color w:val="000000"/>
                <w:sz w:val="21"/>
                <w:lang w:val="en-US" w:eastAsia="zh-CN"/>
              </w:rPr>
              <w:t>-3</w:t>
            </w:r>
            <w:r>
              <w:rPr>
                <w:rFonts w:hint="eastAsia" w:ascii="仿宋" w:hAnsi="仿宋" w:eastAsia="仿宋" w:cs="仿宋"/>
                <w:b/>
                <w:bCs/>
                <w:color w:val="000000"/>
                <w:sz w:val="21"/>
              </w:rPr>
              <w:t>分，一般得1分。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65" w:type="dxa"/>
            <w:vMerge w:val="continue"/>
            <w:vAlign w:val="center"/>
          </w:tcPr>
          <w:p>
            <w:pPr>
              <w:widowControl/>
              <w:spacing w:line="240" w:lineRule="auto"/>
              <w:ind w:firstLine="0" w:firstLineChars="0"/>
              <w:jc w:val="left"/>
              <w:rPr>
                <w:rFonts w:ascii="仿宋_GB2312" w:eastAsia="仿宋_GB2312"/>
                <w:color w:val="000000"/>
                <w:sz w:val="21"/>
              </w:rPr>
            </w:pPr>
          </w:p>
        </w:tc>
        <w:tc>
          <w:tcPr>
            <w:tcW w:w="735" w:type="dxa"/>
            <w:vMerge w:val="continue"/>
            <w:vAlign w:val="center"/>
          </w:tcPr>
          <w:p>
            <w:pPr>
              <w:widowControl/>
              <w:spacing w:line="240" w:lineRule="auto"/>
              <w:ind w:firstLine="0" w:firstLineChars="0"/>
              <w:jc w:val="left"/>
              <w:rPr>
                <w:rFonts w:ascii="仿宋_GB2312" w:eastAsia="仿宋_GB2312"/>
                <w:color w:val="000000"/>
                <w:sz w:val="21"/>
              </w:rPr>
            </w:pPr>
          </w:p>
        </w:tc>
        <w:tc>
          <w:tcPr>
            <w:tcW w:w="1259" w:type="dxa"/>
            <w:vAlign w:val="center"/>
          </w:tcPr>
          <w:p>
            <w:pPr>
              <w:spacing w:line="240" w:lineRule="auto"/>
              <w:ind w:firstLine="0" w:firstLineChars="0"/>
              <w:jc w:val="center"/>
              <w:rPr>
                <w:rFonts w:hint="default" w:ascii="仿宋_GB2312" w:eastAsia="仿宋_GB2312"/>
                <w:color w:val="000000"/>
                <w:sz w:val="21"/>
                <w:lang w:val="en-US" w:eastAsia="zh-CN"/>
              </w:rPr>
            </w:pPr>
            <w:r>
              <w:rPr>
                <w:rFonts w:hint="eastAsia" w:ascii="仿宋_GB2312" w:eastAsia="仿宋_GB2312"/>
                <w:b/>
                <w:color w:val="000000"/>
                <w:sz w:val="21"/>
              </w:rPr>
              <w:t>质量保障</w:t>
            </w:r>
            <w:r>
              <w:rPr>
                <w:rFonts w:hint="eastAsia" w:ascii="仿宋_GB2312" w:eastAsia="仿宋_GB2312"/>
                <w:b/>
                <w:color w:val="000000"/>
                <w:sz w:val="21"/>
              </w:rPr>
              <w:br w:type="textWrapping"/>
            </w:r>
            <w:r>
              <w:rPr>
                <w:rFonts w:hint="eastAsia" w:ascii="仿宋_GB2312" w:eastAsia="仿宋_GB2312"/>
                <w:b/>
                <w:color w:val="000000"/>
                <w:sz w:val="21"/>
                <w:lang w:eastAsia="zh-CN"/>
              </w:rPr>
              <w:t>（</w:t>
            </w:r>
            <w:r>
              <w:rPr>
                <w:rFonts w:hint="eastAsia" w:ascii="仿宋_GB2312" w:eastAsia="仿宋_GB2312"/>
                <w:b/>
                <w:color w:val="000000"/>
                <w:sz w:val="21"/>
                <w:lang w:val="en-US" w:eastAsia="zh-CN"/>
              </w:rPr>
              <w:t>4分）</w:t>
            </w:r>
          </w:p>
        </w:tc>
        <w:tc>
          <w:tcPr>
            <w:tcW w:w="839" w:type="dxa"/>
            <w:vAlign w:val="center"/>
          </w:tcPr>
          <w:p>
            <w:pPr>
              <w:spacing w:line="240" w:lineRule="auto"/>
              <w:ind w:firstLine="0" w:firstLineChars="0"/>
              <w:jc w:val="center"/>
              <w:rPr>
                <w:rFonts w:hint="eastAsia" w:ascii="仿宋_GB2312" w:eastAsia="仿宋_GB2312"/>
                <w:sz w:val="21"/>
                <w:lang w:eastAsia="zh-CN"/>
              </w:rPr>
            </w:pPr>
            <w:r>
              <w:rPr>
                <w:rFonts w:hint="eastAsia" w:ascii="仿宋_GB2312" w:eastAsia="仿宋_GB2312"/>
                <w:b/>
                <w:sz w:val="21"/>
                <w:lang w:val="en-US" w:eastAsia="zh-CN"/>
              </w:rPr>
              <w:t>4</w:t>
            </w:r>
            <w:r>
              <w:rPr>
                <w:rFonts w:hint="eastAsia" w:ascii="仿宋_GB2312" w:eastAsia="仿宋_GB2312"/>
                <w:b/>
                <w:sz w:val="21"/>
                <w:lang w:eastAsia="zh-CN"/>
              </w:rPr>
              <w:t>分</w:t>
            </w:r>
          </w:p>
        </w:tc>
        <w:tc>
          <w:tcPr>
            <w:tcW w:w="4417" w:type="dxa"/>
            <w:vAlign w:val="center"/>
          </w:tcPr>
          <w:p>
            <w:pPr>
              <w:tabs>
                <w:tab w:val="left" w:pos="7854"/>
              </w:tabs>
              <w:spacing w:line="240" w:lineRule="auto"/>
              <w:ind w:firstLine="0" w:firstLineChars="0"/>
              <w:rPr>
                <w:rFonts w:hint="eastAsia" w:ascii="仿宋" w:hAnsi="仿宋" w:eastAsia="仿宋" w:cs="仿宋"/>
                <w:b/>
                <w:bCs/>
                <w:color w:val="000000"/>
                <w:sz w:val="21"/>
              </w:rPr>
            </w:pPr>
            <w:r>
              <w:rPr>
                <w:rFonts w:hint="eastAsia" w:ascii="仿宋" w:hAnsi="仿宋" w:eastAsia="仿宋" w:cs="仿宋"/>
                <w:b/>
                <w:bCs/>
                <w:color w:val="000000"/>
                <w:sz w:val="21"/>
              </w:rPr>
              <w:t>项目执行经理是否具备汽车行业项目经验及平台运营能力。</w:t>
            </w:r>
            <w:r>
              <w:rPr>
                <w:rFonts w:hint="eastAsia" w:ascii="仿宋" w:hAnsi="仿宋" w:eastAsia="仿宋" w:cs="仿宋"/>
                <w:b/>
                <w:bCs/>
                <w:color w:val="000000"/>
                <w:sz w:val="21"/>
                <w:lang w:eastAsia="zh-CN"/>
              </w:rPr>
              <w:t>（</w:t>
            </w:r>
            <w:r>
              <w:rPr>
                <w:rFonts w:hint="eastAsia" w:ascii="仿宋" w:hAnsi="仿宋" w:eastAsia="仿宋" w:cs="仿宋"/>
                <w:b/>
                <w:bCs/>
                <w:color w:val="000000"/>
                <w:sz w:val="21"/>
                <w:lang w:val="en-US" w:eastAsia="zh-CN"/>
              </w:rPr>
              <w:t>需出具相关案例）</w:t>
            </w:r>
            <w:r>
              <w:rPr>
                <w:rFonts w:hint="eastAsia" w:ascii="仿宋" w:hAnsi="仿宋" w:eastAsia="仿宋" w:cs="仿宋"/>
                <w:b/>
                <w:bCs/>
                <w:color w:val="000000"/>
                <w:sz w:val="21"/>
              </w:rPr>
              <w:t>具备得</w:t>
            </w:r>
            <w:r>
              <w:rPr>
                <w:rFonts w:hint="eastAsia" w:ascii="仿宋" w:hAnsi="仿宋" w:eastAsia="仿宋" w:cs="仿宋"/>
                <w:b/>
                <w:bCs/>
                <w:color w:val="000000"/>
                <w:sz w:val="21"/>
                <w:lang w:val="en-US" w:eastAsia="zh-CN"/>
              </w:rPr>
              <w:t>2-4</w:t>
            </w:r>
            <w:r>
              <w:rPr>
                <w:rFonts w:hint="eastAsia" w:ascii="仿宋" w:hAnsi="仿宋" w:eastAsia="仿宋" w:cs="仿宋"/>
                <w:b/>
                <w:bCs/>
                <w:color w:val="000000"/>
                <w:sz w:val="21"/>
              </w:rPr>
              <w:t>分，</w:t>
            </w:r>
            <w:r>
              <w:rPr>
                <w:rFonts w:hint="eastAsia" w:ascii="仿宋" w:hAnsi="仿宋" w:eastAsia="仿宋" w:cs="仿宋"/>
                <w:b/>
                <w:bCs/>
                <w:color w:val="000000"/>
                <w:sz w:val="21"/>
                <w:lang w:val="en-US" w:eastAsia="zh-CN"/>
              </w:rPr>
              <w:t>能力欠佳</w:t>
            </w:r>
            <w:r>
              <w:rPr>
                <w:rFonts w:hint="eastAsia" w:ascii="仿宋" w:hAnsi="仿宋" w:eastAsia="仿宋" w:cs="仿宋"/>
                <w:b/>
                <w:bCs/>
                <w:color w:val="000000"/>
                <w:sz w:val="21"/>
              </w:rPr>
              <w:t>得0</w:t>
            </w:r>
            <w:r>
              <w:rPr>
                <w:rFonts w:hint="eastAsia" w:ascii="仿宋" w:hAnsi="仿宋" w:eastAsia="仿宋" w:cs="仿宋"/>
                <w:b/>
                <w:bCs/>
                <w:color w:val="000000"/>
                <w:sz w:val="21"/>
                <w:lang w:val="en-US" w:eastAsia="zh-CN"/>
              </w:rPr>
              <w:t>-1</w:t>
            </w:r>
            <w:r>
              <w:rPr>
                <w:rFonts w:hint="eastAsia" w:ascii="仿宋" w:hAnsi="仿宋" w:eastAsia="仿宋" w:cs="仿宋"/>
                <w:b/>
                <w:bCs/>
                <w:color w:val="000000"/>
                <w:sz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465" w:type="dxa"/>
            <w:vAlign w:val="center"/>
          </w:tcPr>
          <w:p>
            <w:pPr>
              <w:spacing w:line="240" w:lineRule="auto"/>
              <w:ind w:firstLine="0" w:firstLineChars="0"/>
              <w:jc w:val="center"/>
              <w:rPr>
                <w:rFonts w:ascii="仿宋_GB2312" w:eastAsia="仿宋_GB2312"/>
                <w:b/>
                <w:sz w:val="21"/>
              </w:rPr>
            </w:pPr>
            <w:r>
              <w:rPr>
                <w:rFonts w:hint="eastAsia" w:ascii="仿宋_GB2312" w:eastAsia="仿宋_GB2312"/>
                <w:b/>
                <w:sz w:val="21"/>
              </w:rPr>
              <w:t>商务标</w:t>
            </w:r>
          </w:p>
        </w:tc>
        <w:tc>
          <w:tcPr>
            <w:tcW w:w="735" w:type="dxa"/>
            <w:vAlign w:val="center"/>
          </w:tcPr>
          <w:p>
            <w:pPr>
              <w:spacing w:line="240" w:lineRule="auto"/>
              <w:ind w:firstLine="0" w:firstLineChars="0"/>
              <w:jc w:val="center"/>
              <w:rPr>
                <w:rFonts w:ascii="仿宋_GB2312" w:eastAsia="仿宋_GB2312"/>
                <w:b/>
                <w:sz w:val="21"/>
              </w:rPr>
            </w:pPr>
          </w:p>
          <w:p>
            <w:pPr>
              <w:spacing w:line="240" w:lineRule="auto"/>
              <w:ind w:firstLine="0" w:firstLineChars="0"/>
              <w:jc w:val="center"/>
              <w:rPr>
                <w:rFonts w:ascii="仿宋_GB2312" w:eastAsia="仿宋_GB2312"/>
                <w:b/>
                <w:sz w:val="21"/>
              </w:rPr>
            </w:pPr>
            <w:r>
              <w:rPr>
                <w:rFonts w:hint="eastAsia" w:ascii="仿宋_GB2312" w:eastAsia="仿宋_GB2312"/>
                <w:b/>
                <w:sz w:val="21"/>
              </w:rPr>
              <w:t>60分</w:t>
            </w:r>
          </w:p>
        </w:tc>
        <w:tc>
          <w:tcPr>
            <w:tcW w:w="1259" w:type="dxa"/>
            <w:vAlign w:val="center"/>
          </w:tcPr>
          <w:p>
            <w:pPr>
              <w:spacing w:line="240" w:lineRule="auto"/>
              <w:ind w:firstLine="0" w:firstLineChars="0"/>
              <w:jc w:val="center"/>
              <w:rPr>
                <w:rFonts w:hint="default" w:ascii="仿宋_GB2312" w:eastAsia="仿宋_GB2312"/>
                <w:b/>
                <w:color w:val="000000"/>
                <w:sz w:val="21"/>
                <w:lang w:val="en-US" w:eastAsia="zh-CN"/>
              </w:rPr>
            </w:pPr>
            <w:r>
              <w:rPr>
                <w:rFonts w:hint="eastAsia" w:ascii="仿宋_GB2312" w:eastAsia="仿宋_GB2312"/>
                <w:b/>
                <w:color w:val="000000"/>
                <w:sz w:val="21"/>
              </w:rPr>
              <w:t>投标报价</w:t>
            </w:r>
            <w:r>
              <w:rPr>
                <w:rFonts w:hint="eastAsia" w:ascii="仿宋_GB2312" w:eastAsia="仿宋_GB2312"/>
                <w:b/>
                <w:color w:val="000000"/>
                <w:sz w:val="21"/>
              </w:rPr>
              <w:br w:type="textWrapping"/>
            </w:r>
            <w:r>
              <w:rPr>
                <w:rFonts w:hint="eastAsia" w:ascii="仿宋_GB2312" w:eastAsia="仿宋_GB2312"/>
                <w:b/>
                <w:color w:val="000000"/>
                <w:sz w:val="21"/>
                <w:lang w:eastAsia="zh-CN"/>
              </w:rPr>
              <w:t>（</w:t>
            </w:r>
            <w:r>
              <w:rPr>
                <w:rFonts w:hint="eastAsia" w:ascii="仿宋_GB2312" w:eastAsia="仿宋_GB2312"/>
                <w:b/>
                <w:color w:val="000000"/>
                <w:sz w:val="21"/>
                <w:lang w:val="en-US" w:eastAsia="zh-CN"/>
              </w:rPr>
              <w:t>60分）</w:t>
            </w:r>
          </w:p>
        </w:tc>
        <w:tc>
          <w:tcPr>
            <w:tcW w:w="839" w:type="dxa"/>
            <w:vAlign w:val="center"/>
          </w:tcPr>
          <w:p>
            <w:pPr>
              <w:spacing w:line="240" w:lineRule="auto"/>
              <w:ind w:firstLine="0" w:firstLineChars="0"/>
              <w:jc w:val="center"/>
              <w:rPr>
                <w:rFonts w:ascii="仿宋_GB2312" w:eastAsia="仿宋_GB2312"/>
                <w:b/>
                <w:color w:val="000000"/>
                <w:sz w:val="21"/>
              </w:rPr>
            </w:pPr>
            <w:r>
              <w:rPr>
                <w:rFonts w:hint="eastAsia" w:ascii="仿宋_GB2312" w:eastAsia="仿宋_GB2312"/>
                <w:b/>
                <w:color w:val="000000"/>
                <w:sz w:val="21"/>
                <w:lang w:val="en-US" w:eastAsia="zh-CN"/>
              </w:rPr>
              <w:t>60</w:t>
            </w:r>
            <w:r>
              <w:rPr>
                <w:rFonts w:hint="eastAsia" w:ascii="仿宋_GB2312" w:eastAsia="仿宋_GB2312"/>
                <w:b/>
                <w:color w:val="000000"/>
                <w:sz w:val="21"/>
              </w:rPr>
              <w:t>分</w:t>
            </w:r>
          </w:p>
        </w:tc>
        <w:tc>
          <w:tcPr>
            <w:tcW w:w="4417" w:type="dxa"/>
            <w:vAlign w:val="center"/>
          </w:tcPr>
          <w:p>
            <w:pPr>
              <w:spacing w:line="240" w:lineRule="auto"/>
              <w:ind w:firstLine="0" w:firstLineChars="0"/>
              <w:rPr>
                <w:rFonts w:ascii="仿宋" w:hAnsi="仿宋" w:eastAsia="仿宋" w:cs="仿宋"/>
                <w:b/>
                <w:bCs/>
                <w:color w:val="000000"/>
                <w:sz w:val="21"/>
              </w:rPr>
            </w:pPr>
            <w:r>
              <w:rPr>
                <w:rFonts w:hint="eastAsia" w:ascii="仿宋" w:hAnsi="仿宋" w:eastAsia="仿宋" w:cs="仿宋"/>
                <w:b/>
                <w:bCs/>
                <w:color w:val="000000"/>
                <w:sz w:val="21"/>
              </w:rPr>
              <w:t>1、经技术标评审合格的投标文件其投标报价为有效报价。满足招标文件要求且投标报价最低的投标报价为评标基准价，其价格分为满分</w:t>
            </w:r>
            <w:r>
              <w:rPr>
                <w:rFonts w:hint="eastAsia" w:ascii="仿宋" w:hAnsi="仿宋" w:eastAsia="仿宋" w:cs="仿宋"/>
                <w:b/>
                <w:bCs/>
                <w:color w:val="000000"/>
                <w:sz w:val="21"/>
                <w:lang w:val="en-US" w:eastAsia="zh-CN"/>
              </w:rPr>
              <w:t>60</w:t>
            </w:r>
            <w:r>
              <w:rPr>
                <w:rFonts w:hint="eastAsia" w:ascii="仿宋" w:hAnsi="仿宋" w:eastAsia="仿宋" w:cs="仿宋"/>
                <w:b/>
                <w:bCs/>
                <w:color w:val="000000"/>
                <w:sz w:val="21"/>
              </w:rPr>
              <w:t>分。</w:t>
            </w:r>
          </w:p>
          <w:p>
            <w:pPr>
              <w:spacing w:line="240" w:lineRule="auto"/>
              <w:ind w:firstLine="0" w:firstLineChars="0"/>
              <w:rPr>
                <w:rFonts w:hint="eastAsia" w:ascii="仿宋" w:hAnsi="仿宋" w:eastAsia="仿宋" w:cs="仿宋"/>
                <w:b/>
                <w:bCs/>
                <w:color w:val="000000"/>
                <w:sz w:val="21"/>
              </w:rPr>
            </w:pPr>
            <w:r>
              <w:rPr>
                <w:rFonts w:hint="eastAsia" w:ascii="仿宋" w:hAnsi="仿宋" w:eastAsia="仿宋" w:cs="仿宋"/>
                <w:b/>
                <w:bCs/>
                <w:color w:val="000000"/>
                <w:sz w:val="21"/>
              </w:rPr>
              <w:t>2、其他投标人的的价格分按照下列公式计算：投标报价得分＝（评标基准价/投标报价）*</w:t>
            </w:r>
            <w:r>
              <w:rPr>
                <w:rFonts w:hint="eastAsia" w:ascii="仿宋" w:hAnsi="仿宋" w:eastAsia="仿宋" w:cs="仿宋"/>
                <w:b/>
                <w:bCs/>
                <w:color w:val="000000"/>
                <w:sz w:val="21"/>
                <w:lang w:val="en-US" w:eastAsia="zh-CN"/>
              </w:rPr>
              <w:t>6</w:t>
            </w:r>
            <w:r>
              <w:rPr>
                <w:rFonts w:hint="eastAsia" w:ascii="仿宋" w:hAnsi="仿宋" w:eastAsia="仿宋" w:cs="仿宋"/>
                <w:b/>
                <w:bCs/>
                <w:color w:val="000000"/>
                <w:sz w:val="21"/>
              </w:rPr>
              <w:t>0</w:t>
            </w:r>
            <w:r>
              <w:rPr>
                <w:rFonts w:hint="eastAsia" w:ascii="仿宋" w:hAnsi="仿宋" w:eastAsia="仿宋" w:cs="仿宋"/>
                <w:b/>
                <w:bCs/>
                <w:color w:val="000000"/>
                <w:sz w:val="21"/>
                <w:lang w:eastAsia="zh-CN"/>
              </w:rPr>
              <w:t>分</w:t>
            </w:r>
            <w:r>
              <w:rPr>
                <w:rFonts w:hint="eastAsia" w:ascii="仿宋" w:hAnsi="仿宋" w:eastAsia="仿宋" w:cs="仿宋"/>
                <w:b/>
                <w:bCs/>
                <w:color w:val="000000"/>
                <w:sz w:val="21"/>
              </w:rPr>
              <w:t>。3、百分率、得分值小数点后保留两位，第三位四舍五入。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jc w:val="center"/>
        </w:trPr>
        <w:tc>
          <w:tcPr>
            <w:tcW w:w="8715" w:type="dxa"/>
            <w:gridSpan w:val="5"/>
          </w:tcPr>
          <w:p>
            <w:pPr>
              <w:spacing w:line="240" w:lineRule="auto"/>
              <w:ind w:firstLine="0" w:firstLineChars="0"/>
              <w:jc w:val="left"/>
              <w:rPr>
                <w:rFonts w:ascii="仿宋_GB2312" w:eastAsia="仿宋_GB2312"/>
                <w:b/>
                <w:sz w:val="21"/>
              </w:rPr>
            </w:pPr>
            <w:r>
              <w:rPr>
                <w:rFonts w:hint="eastAsia" w:ascii="仿宋_GB2312" w:eastAsia="仿宋_GB2312"/>
                <w:b/>
                <w:sz w:val="21"/>
              </w:rPr>
              <w:t>备注：</w:t>
            </w:r>
          </w:p>
          <w:p>
            <w:pPr>
              <w:numPr>
                <w:ilvl w:val="0"/>
                <w:numId w:val="10"/>
              </w:numPr>
              <w:spacing w:line="240" w:lineRule="auto"/>
              <w:ind w:firstLine="0" w:firstLineChars="0"/>
              <w:jc w:val="left"/>
              <w:rPr>
                <w:rFonts w:ascii="仿宋_GB2312" w:eastAsia="仿宋_GB2312"/>
                <w:b/>
                <w:sz w:val="21"/>
              </w:rPr>
            </w:pPr>
            <w:r>
              <w:rPr>
                <w:rFonts w:hint="eastAsia" w:ascii="仿宋_GB2312" w:eastAsia="仿宋_GB2312"/>
                <w:b/>
                <w:sz w:val="21"/>
              </w:rPr>
              <w:t>通过初审者为有效投标。</w:t>
            </w:r>
          </w:p>
          <w:p>
            <w:pPr>
              <w:numPr>
                <w:ilvl w:val="0"/>
                <w:numId w:val="10"/>
              </w:numPr>
              <w:spacing w:line="240" w:lineRule="auto"/>
              <w:ind w:firstLine="0" w:firstLineChars="0"/>
              <w:jc w:val="left"/>
              <w:rPr>
                <w:rFonts w:ascii="仿宋_GB2312" w:eastAsia="仿宋_GB2312"/>
                <w:b/>
                <w:sz w:val="21"/>
              </w:rPr>
            </w:pPr>
            <w:r>
              <w:rPr>
                <w:rFonts w:hint="eastAsia" w:ascii="仿宋_GB2312" w:eastAsia="仿宋_GB2312"/>
                <w:b/>
                <w:sz w:val="21"/>
              </w:rPr>
              <w:t>首先根据技术因素对投标方进行技术评标，在满足技术要求的前提下（含技术澄清），经专家组讨论通过后，确定进入商务标评审的投标方，再进行商务标评审。</w:t>
            </w:r>
          </w:p>
          <w:p>
            <w:pPr>
              <w:spacing w:line="240" w:lineRule="auto"/>
              <w:ind w:firstLine="0" w:firstLineChars="0"/>
              <w:jc w:val="left"/>
              <w:rPr>
                <w:rFonts w:ascii="仿宋_GB2312" w:eastAsia="仿宋_GB2312"/>
                <w:b/>
                <w:sz w:val="21"/>
              </w:rPr>
            </w:pPr>
            <w:r>
              <w:rPr>
                <w:rFonts w:hint="eastAsia" w:ascii="仿宋_GB2312" w:eastAsia="仿宋_GB2312"/>
                <w:b/>
                <w:sz w:val="21"/>
              </w:rPr>
              <w:t>3、综合评价值相同的，依照价格、技术、商务、服务及其他评价内容的优先次序，根据分项评价值进行排名。若上述排名皆相同的，则由全体评委成员无记名投票，得票高者排序在前。</w:t>
            </w:r>
          </w:p>
          <w:p>
            <w:pPr>
              <w:spacing w:line="240" w:lineRule="auto"/>
              <w:ind w:firstLine="0" w:firstLineChars="0"/>
              <w:jc w:val="left"/>
              <w:rPr>
                <w:rFonts w:ascii="仿宋_GB2312" w:eastAsia="仿宋_GB2312"/>
                <w:b/>
                <w:sz w:val="21"/>
              </w:rPr>
            </w:pPr>
            <w:r>
              <w:rPr>
                <w:rFonts w:hint="eastAsia" w:ascii="仿宋_GB2312" w:eastAsia="仿宋_GB2312"/>
                <w:b/>
                <w:sz w:val="21"/>
              </w:rPr>
              <w:t>4、评委打分不得超过得分界限。</w:t>
            </w:r>
          </w:p>
          <w:p>
            <w:pPr>
              <w:spacing w:line="240" w:lineRule="auto"/>
              <w:ind w:firstLine="0" w:firstLineChars="0"/>
              <w:jc w:val="left"/>
              <w:rPr>
                <w:rFonts w:ascii="仿宋_GB2312" w:eastAsia="仿宋_GB2312"/>
                <w:b/>
                <w:sz w:val="21"/>
              </w:rPr>
            </w:pPr>
            <w:r>
              <w:rPr>
                <w:rFonts w:hint="eastAsia" w:ascii="仿宋_GB2312" w:eastAsia="仿宋_GB2312"/>
                <w:b/>
                <w:sz w:val="21"/>
              </w:rPr>
              <w:t>5、投标方提交的投标文件和资料必须真实有效。合同签订前，招标方有权组织联合小组（财务、技术、设备、质量等）到中标候选人实地审核，如发现投标文件和资料有弄虚作假，招标方有权取消其中标候选人资格，同时招标方有权扣留其投标保证金。</w:t>
            </w:r>
          </w:p>
        </w:tc>
      </w:tr>
    </w:tbl>
    <w:p>
      <w:pPr>
        <w:spacing w:line="240" w:lineRule="exact"/>
        <w:ind w:firstLine="0" w:firstLineChars="0"/>
        <w:jc w:val="center"/>
        <w:rPr>
          <w:rFonts w:ascii="仿宋_GB2312" w:eastAsia="仿宋_GB2312"/>
          <w:b/>
          <w:sz w:val="21"/>
        </w:rPr>
      </w:pPr>
    </w:p>
    <w:p>
      <w:pPr>
        <w:spacing w:before="120" w:beforeLines="50" w:line="240" w:lineRule="auto"/>
        <w:ind w:firstLine="101" w:firstLineChars="48"/>
        <w:rPr>
          <w:bCs/>
          <w:szCs w:val="24"/>
        </w:rPr>
      </w:pPr>
      <w:r>
        <w:rPr>
          <w:b/>
          <w:bCs/>
          <w:szCs w:val="24"/>
        </w:rPr>
        <w:t>注：</w:t>
      </w:r>
      <w:r>
        <w:rPr>
          <w:rFonts w:hint="eastAsia"/>
          <w:b/>
          <w:bCs/>
          <w:szCs w:val="24"/>
        </w:rPr>
        <w:t xml:space="preserve"> </w:t>
      </w:r>
      <w:r>
        <w:rPr>
          <w:bCs/>
          <w:szCs w:val="24"/>
        </w:rPr>
        <w:t xml:space="preserve">1. </w:t>
      </w:r>
      <w:r>
        <w:rPr>
          <w:kern w:val="0"/>
          <w:szCs w:val="24"/>
        </w:rPr>
        <w:t>投标人综合评审得分取所有评委对该投标人计分之和的算术平均值。</w:t>
      </w:r>
    </w:p>
    <w:p>
      <w:pPr>
        <w:tabs>
          <w:tab w:val="left" w:pos="4111"/>
        </w:tabs>
        <w:spacing w:line="400" w:lineRule="exact"/>
        <w:ind w:firstLine="630" w:firstLineChars="300"/>
        <w:rPr>
          <w:szCs w:val="24"/>
        </w:rPr>
      </w:pPr>
      <w:r>
        <w:rPr>
          <w:szCs w:val="24"/>
        </w:rPr>
        <w:t>2. 投标文件有下列情形之一的，由评标委员会按不响应招标文件</w:t>
      </w:r>
      <w:r>
        <w:rPr>
          <w:rFonts w:hint="eastAsia"/>
          <w:szCs w:val="24"/>
        </w:rPr>
        <w:t>有权拒绝</w:t>
      </w:r>
      <w:r>
        <w:rPr>
          <w:szCs w:val="24"/>
        </w:rPr>
        <w:t xml:space="preserve">或无效投标处理： </w:t>
      </w:r>
    </w:p>
    <w:p>
      <w:pPr>
        <w:spacing w:line="400" w:lineRule="exact"/>
        <w:ind w:firstLine="480"/>
        <w:rPr>
          <w:szCs w:val="24"/>
        </w:rPr>
      </w:pPr>
      <w:r>
        <w:rPr>
          <w:szCs w:val="24"/>
        </w:rPr>
        <w:t>1）样品不满足招标文件规定的；</w:t>
      </w:r>
    </w:p>
    <w:p>
      <w:pPr>
        <w:spacing w:line="400" w:lineRule="exact"/>
        <w:ind w:firstLine="480"/>
        <w:rPr>
          <w:szCs w:val="24"/>
        </w:rPr>
      </w:pPr>
      <w:r>
        <w:rPr>
          <w:szCs w:val="24"/>
        </w:rPr>
        <w:t>2）</w:t>
      </w:r>
      <w:r>
        <w:rPr>
          <w:rFonts w:hint="eastAsia"/>
          <w:szCs w:val="24"/>
        </w:rPr>
        <w:t>无法定代表人签字或盖章的，签字人无法定代表人有效授权的，应加盖投标人公章而未盖章的；未按照招标文件要求密封的；</w:t>
      </w:r>
    </w:p>
    <w:p>
      <w:pPr>
        <w:spacing w:line="400" w:lineRule="exact"/>
        <w:ind w:firstLine="480"/>
        <w:rPr>
          <w:szCs w:val="24"/>
        </w:rPr>
      </w:pPr>
      <w:r>
        <w:rPr>
          <w:szCs w:val="24"/>
        </w:rPr>
        <w:t>3）未按规定格式密封或填写，内容不全或者关键内容字迹模糊，无法辨认的；</w:t>
      </w:r>
    </w:p>
    <w:p>
      <w:pPr>
        <w:spacing w:line="400" w:lineRule="exact"/>
        <w:ind w:firstLine="480"/>
        <w:rPr>
          <w:szCs w:val="24"/>
        </w:rPr>
      </w:pPr>
      <w:r>
        <w:rPr>
          <w:szCs w:val="24"/>
        </w:rPr>
        <w:t>4）投标人递交两份或多份内容不同的报价文件，或者在一份报价文件中对同一采购项目报有两个或多个报价，且未声明哪一个有效，按招标文件规定提交备选方案的除外；</w:t>
      </w:r>
    </w:p>
    <w:p>
      <w:pPr>
        <w:spacing w:line="400" w:lineRule="exact"/>
        <w:ind w:firstLine="480"/>
        <w:rPr>
          <w:szCs w:val="24"/>
        </w:rPr>
      </w:pPr>
      <w:r>
        <w:rPr>
          <w:szCs w:val="24"/>
        </w:rPr>
        <w:t>5）投标人名称或组织结构与资格审查不一致的；</w:t>
      </w:r>
      <w:r>
        <w:rPr>
          <w:rFonts w:hint="eastAsia"/>
          <w:szCs w:val="24"/>
        </w:rPr>
        <w:t>不具备招标文件规定的资格条件及未按招标文件规定的要求提供资格证明文件的；</w:t>
      </w:r>
    </w:p>
    <w:p>
      <w:pPr>
        <w:spacing w:line="400" w:lineRule="exact"/>
        <w:ind w:firstLine="480"/>
        <w:rPr>
          <w:szCs w:val="24"/>
        </w:rPr>
      </w:pPr>
      <w:r>
        <w:rPr>
          <w:szCs w:val="24"/>
        </w:rPr>
        <w:t>6）投标人未按照招标文件的要求提供投标保证金的；</w:t>
      </w:r>
    </w:p>
    <w:p>
      <w:pPr>
        <w:spacing w:line="400" w:lineRule="exact"/>
        <w:ind w:firstLine="480"/>
        <w:rPr>
          <w:szCs w:val="24"/>
        </w:rPr>
      </w:pPr>
      <w:r>
        <w:rPr>
          <w:szCs w:val="24"/>
        </w:rPr>
        <w:t>7）不同投标人的投标文件内容存在非正常一致的；</w:t>
      </w:r>
    </w:p>
    <w:p>
      <w:pPr>
        <w:spacing w:line="400" w:lineRule="exact"/>
        <w:ind w:firstLine="480"/>
        <w:rPr>
          <w:szCs w:val="24"/>
        </w:rPr>
      </w:pPr>
      <w:r>
        <w:rPr>
          <w:szCs w:val="24"/>
        </w:rPr>
        <w:t>8）不同投标人的投标文件相互混装的；</w:t>
      </w:r>
      <w:r>
        <w:rPr>
          <w:rFonts w:hint="eastAsia"/>
          <w:szCs w:val="24"/>
        </w:rPr>
        <w:t>不同投标人投标文件中的项目相关人员出现同一人的；不同投标人的投标文件内容出现非正常一致的；</w:t>
      </w:r>
    </w:p>
    <w:p>
      <w:pPr>
        <w:spacing w:line="400" w:lineRule="exact"/>
        <w:ind w:firstLine="480"/>
        <w:rPr>
          <w:szCs w:val="24"/>
        </w:rPr>
      </w:pPr>
      <w:r>
        <w:rPr>
          <w:szCs w:val="24"/>
        </w:rPr>
        <w:t>9）不同投标人委托同一人投标的；</w:t>
      </w:r>
    </w:p>
    <w:p>
      <w:pPr>
        <w:spacing w:line="400" w:lineRule="exact"/>
        <w:ind w:firstLine="480"/>
        <w:rPr>
          <w:szCs w:val="24"/>
        </w:rPr>
      </w:pPr>
      <w:r>
        <w:rPr>
          <w:szCs w:val="24"/>
        </w:rPr>
        <w:t>10）不同投标人使用同一个人或者企业资金交纳投标保证金的；</w:t>
      </w:r>
    </w:p>
    <w:p>
      <w:pPr>
        <w:spacing w:line="400" w:lineRule="exact"/>
        <w:ind w:firstLine="480"/>
        <w:rPr>
          <w:szCs w:val="24"/>
        </w:rPr>
      </w:pPr>
      <w:r>
        <w:rPr>
          <w:szCs w:val="24"/>
        </w:rPr>
        <w:t>11）不响应招标文件供货时间、质量要求、技术要求中带“*”的技术内容、质保期等实质性内容的；</w:t>
      </w:r>
    </w:p>
    <w:p>
      <w:pPr>
        <w:spacing w:line="400" w:lineRule="exact"/>
        <w:ind w:firstLine="480"/>
        <w:rPr>
          <w:szCs w:val="24"/>
        </w:rPr>
      </w:pPr>
      <w:r>
        <w:rPr>
          <w:szCs w:val="24"/>
        </w:rPr>
        <w:t>12</w:t>
      </w:r>
      <w:r>
        <w:rPr>
          <w:rFonts w:hint="eastAsia"/>
          <w:szCs w:val="24"/>
        </w:rPr>
        <w:t>）</w:t>
      </w:r>
      <w:r>
        <w:rPr>
          <w:szCs w:val="24"/>
        </w:rPr>
        <w:t xml:space="preserve">提供虚假材料谋取中标的； </w:t>
      </w:r>
    </w:p>
    <w:p>
      <w:pPr>
        <w:spacing w:line="400" w:lineRule="exact"/>
        <w:ind w:firstLine="480"/>
        <w:rPr>
          <w:szCs w:val="24"/>
        </w:rPr>
      </w:pPr>
      <w:r>
        <w:rPr>
          <w:szCs w:val="24"/>
        </w:rPr>
        <w:t>13）其他任何有企图影响招标结果公正性的活动。</w:t>
      </w:r>
    </w:p>
    <w:p>
      <w:pPr>
        <w:spacing w:line="400" w:lineRule="exact"/>
        <w:ind w:firstLine="480"/>
        <w:rPr>
          <w:szCs w:val="24"/>
        </w:rPr>
      </w:pPr>
      <w:r>
        <w:rPr>
          <w:rFonts w:hint="eastAsia"/>
          <w:szCs w:val="24"/>
        </w:rPr>
        <w:t>1</w:t>
      </w:r>
      <w:r>
        <w:rPr>
          <w:szCs w:val="24"/>
        </w:rPr>
        <w:t>4</w:t>
      </w:r>
      <w:r>
        <w:rPr>
          <w:rFonts w:hint="eastAsia"/>
          <w:szCs w:val="24"/>
        </w:rPr>
        <w:t>）故意哄抬价格或压价等其他恶意串通投标的；有损害招标方和用户利益的规定的。</w:t>
      </w:r>
    </w:p>
    <w:p>
      <w:pPr>
        <w:spacing w:line="400" w:lineRule="exact"/>
        <w:ind w:firstLine="480"/>
        <w:rPr>
          <w:szCs w:val="24"/>
        </w:rPr>
      </w:pPr>
      <w:r>
        <w:rPr>
          <w:rFonts w:hint="eastAsia"/>
          <w:szCs w:val="24"/>
        </w:rPr>
        <w:t>15)技术标书出现报价的；</w:t>
      </w:r>
    </w:p>
    <w:p>
      <w:pPr>
        <w:spacing w:line="400" w:lineRule="exact"/>
        <w:ind w:firstLine="480"/>
        <w:rPr>
          <w:szCs w:val="24"/>
        </w:rPr>
      </w:pPr>
      <w:r>
        <w:rPr>
          <w:rFonts w:hint="eastAsia"/>
          <w:szCs w:val="24"/>
        </w:rPr>
        <w:t>16）投标有效期不足的；</w:t>
      </w:r>
    </w:p>
    <w:p>
      <w:pPr>
        <w:spacing w:line="400" w:lineRule="exact"/>
        <w:ind w:firstLine="480"/>
        <w:rPr>
          <w:szCs w:val="24"/>
        </w:rPr>
      </w:pPr>
      <w:r>
        <w:rPr>
          <w:rFonts w:hint="eastAsia"/>
          <w:szCs w:val="24"/>
        </w:rPr>
        <w:t>17）其他未对招标文件实质性要求和条件作出响应的。</w:t>
      </w:r>
    </w:p>
    <w:p>
      <w:pPr>
        <w:pStyle w:val="6"/>
        <w:spacing w:line="360" w:lineRule="auto"/>
        <w:jc w:val="center"/>
      </w:pPr>
      <w:r>
        <w:rPr>
          <w:rFonts w:hint="eastAsia" w:ascii="黑体" w:eastAsia="黑体"/>
          <w:b/>
          <w:bCs/>
          <w:sz w:val="36"/>
          <w:szCs w:val="36"/>
        </w:rPr>
        <w:t>技术规范与评标</w:t>
      </w:r>
    </w:p>
    <w:p>
      <w:pPr>
        <w:pStyle w:val="6"/>
        <w:spacing w:line="360" w:lineRule="auto"/>
        <w:rPr>
          <w:rFonts w:hint="eastAsia" w:ascii="黑体" w:hAnsi="黑体" w:eastAsia="黑体"/>
          <w:b/>
          <w:sz w:val="28"/>
          <w:szCs w:val="28"/>
        </w:rPr>
      </w:pPr>
      <w:r>
        <w:rPr>
          <w:rFonts w:hint="eastAsia" w:ascii="黑体" w:hAnsi="黑体" w:eastAsia="黑体"/>
          <w:b/>
          <w:sz w:val="28"/>
          <w:szCs w:val="28"/>
        </w:rPr>
        <w:t>一、技术标准</w:t>
      </w:r>
    </w:p>
    <w:p>
      <w:pPr>
        <w:pStyle w:val="6"/>
        <w:spacing w:line="360" w:lineRule="auto"/>
        <w:ind w:firstLine="420" w:firstLineChars="200"/>
        <w:rPr>
          <w:bCs/>
        </w:rPr>
      </w:pPr>
      <w:r>
        <w:rPr>
          <w:rFonts w:hint="eastAsia"/>
          <w:bCs/>
        </w:rPr>
        <w:t>投标人应与招标人指派的答疑人员充分沟通，理解认可并接受相关技术规范及服务要求。</w:t>
      </w:r>
    </w:p>
    <w:p>
      <w:pPr>
        <w:pStyle w:val="6"/>
        <w:spacing w:line="360" w:lineRule="auto"/>
        <w:ind w:firstLine="420" w:firstLineChars="200"/>
        <w:rPr>
          <w:bCs/>
        </w:rPr>
      </w:pPr>
      <w:r>
        <w:rPr>
          <w:rFonts w:hint="eastAsia"/>
          <w:bCs/>
        </w:rPr>
        <w:t>项目标准：详见《中国重汽集团济南专用车有限公司新媒体平台直播、短视频运营项目KPI》。</w:t>
      </w:r>
    </w:p>
    <w:p>
      <w:pPr>
        <w:pStyle w:val="6"/>
        <w:spacing w:line="360" w:lineRule="auto"/>
        <w:rPr>
          <w:rFonts w:hint="eastAsia" w:ascii="黑体" w:hAnsi="黑体" w:eastAsia="黑体"/>
          <w:b/>
          <w:bCs/>
          <w:sz w:val="28"/>
          <w:szCs w:val="28"/>
        </w:rPr>
      </w:pPr>
      <w:r>
        <w:rPr>
          <w:rFonts w:hint="eastAsia" w:ascii="黑体" w:hAnsi="黑体" w:eastAsia="黑体"/>
          <w:b/>
          <w:bCs/>
          <w:sz w:val="28"/>
          <w:szCs w:val="28"/>
        </w:rPr>
        <w:t>二、评分标准</w:t>
      </w:r>
    </w:p>
    <w:p>
      <w:pPr>
        <w:pStyle w:val="6"/>
        <w:numPr>
          <w:ilvl w:val="0"/>
          <w:numId w:val="11"/>
        </w:numPr>
        <w:spacing w:line="360" w:lineRule="auto"/>
        <w:ind w:left="0" w:firstLine="420"/>
      </w:pPr>
      <w:r>
        <w:rPr>
          <w:rFonts w:hint="eastAsia"/>
        </w:rPr>
        <w:t>招标人将坚持“公开、公平、公正”原则，严格按照国家法律法规及公司规章制度要求，设立专家评审小组进行招标评审。</w:t>
      </w:r>
    </w:p>
    <w:p>
      <w:pPr>
        <w:pStyle w:val="6"/>
        <w:numPr>
          <w:ilvl w:val="0"/>
          <w:numId w:val="11"/>
        </w:numPr>
        <w:spacing w:line="360" w:lineRule="auto"/>
        <w:ind w:left="0" w:firstLine="420"/>
      </w:pPr>
      <w:r>
        <w:rPr>
          <w:rFonts w:hint="eastAsia"/>
        </w:rPr>
        <w:t>投标人派人员参加开标会议，投标人未参加开标的，视同认可开标结果；</w:t>
      </w:r>
    </w:p>
    <w:p>
      <w:pPr>
        <w:pStyle w:val="6"/>
        <w:numPr>
          <w:ilvl w:val="0"/>
          <w:numId w:val="11"/>
        </w:numPr>
        <w:spacing w:line="360" w:lineRule="auto"/>
        <w:ind w:left="0" w:firstLine="420"/>
      </w:pPr>
      <w:r>
        <w:rPr>
          <w:rFonts w:hint="eastAsia"/>
        </w:rPr>
        <w:t>评标分为技术标和商务标两部分进行评审，评审小组分为技术标专家组和商务标专家组。先由技术标专家组进行技术评分，讲标时间30分钟，答疑时间10分钟。严重偏离招标人技术标准的直接淘汰。</w:t>
      </w:r>
    </w:p>
    <w:p>
      <w:pPr>
        <w:pStyle w:val="6"/>
        <w:widowControl/>
        <w:autoSpaceDE w:val="0"/>
        <w:spacing w:line="360" w:lineRule="auto"/>
        <w:ind w:firstLine="420" w:firstLineChars="200"/>
        <w:rPr>
          <w:rFonts w:cs="宋体"/>
          <w:color w:val="000000" w:themeColor="text1"/>
          <w14:textFill>
            <w14:solidFill>
              <w14:schemeClr w14:val="tx1"/>
            </w14:solidFill>
          </w14:textFill>
        </w:rPr>
      </w:pPr>
      <w:r>
        <w:rPr>
          <w:rFonts w:hAnsi="宋体" w:cs="宋体"/>
          <w:color w:val="000000" w:themeColor="text1"/>
          <w:highlight w:val="none"/>
          <w14:textFill>
            <w14:solidFill>
              <w14:schemeClr w14:val="tx1"/>
            </w14:solidFill>
          </w14:textFill>
        </w:rPr>
        <w:t>根据技术标评审结果，</w:t>
      </w:r>
      <w:r>
        <w:rPr>
          <w:rFonts w:hint="eastAsia" w:hAnsi="宋体" w:cs="宋体"/>
          <w:color w:val="000000" w:themeColor="text1"/>
          <w:highlight w:val="none"/>
          <w14:textFill>
            <w14:solidFill>
              <w14:schemeClr w14:val="tx1"/>
            </w14:solidFill>
          </w14:textFill>
        </w:rPr>
        <w:t>排名前三的</w:t>
      </w:r>
      <w:r>
        <w:rPr>
          <w:rFonts w:hAnsi="宋体" w:cs="宋体"/>
          <w:color w:val="000000" w:themeColor="text1"/>
          <w:highlight w:val="none"/>
          <w14:textFill>
            <w14:solidFill>
              <w14:schemeClr w14:val="tx1"/>
            </w14:solidFill>
          </w14:textFill>
        </w:rPr>
        <w:t>入围</w:t>
      </w:r>
      <w:r>
        <w:rPr>
          <w:rFonts w:hint="eastAsia" w:hAnsi="宋体" w:cs="宋体"/>
          <w:color w:val="000000" w:themeColor="text1"/>
          <w:highlight w:val="none"/>
          <w14:textFill>
            <w14:solidFill>
              <w14:schemeClr w14:val="tx1"/>
            </w14:solidFill>
          </w14:textFill>
        </w:rPr>
        <w:t>商务标并通知</w:t>
      </w:r>
      <w:r>
        <w:rPr>
          <w:rFonts w:hAnsi="宋体" w:cs="宋体"/>
          <w:color w:val="000000" w:themeColor="text1"/>
          <w:highlight w:val="none"/>
          <w14:textFill>
            <w14:solidFill>
              <w14:schemeClr w14:val="tx1"/>
            </w14:solidFill>
          </w14:textFill>
        </w:rPr>
        <w:t>商务标开标时间。</w:t>
      </w:r>
      <w:r>
        <w:rPr>
          <w:rFonts w:hAnsi="宋体" w:cs="宋体"/>
          <w:color w:val="000000" w:themeColor="text1"/>
          <w14:textFill>
            <w14:solidFill>
              <w14:schemeClr w14:val="tx1"/>
            </w14:solidFill>
          </w14:textFill>
        </w:rPr>
        <w:t>技术标评分不带入商务标，未进入商务标评标资格的投标人商务投标书不可带走。</w:t>
      </w:r>
    </w:p>
    <w:p>
      <w:pPr>
        <w:pStyle w:val="6"/>
        <w:numPr>
          <w:ilvl w:val="0"/>
          <w:numId w:val="11"/>
        </w:numPr>
        <w:spacing w:line="360" w:lineRule="auto"/>
        <w:ind w:left="0" w:firstLine="420"/>
      </w:pPr>
      <w:r>
        <w:rPr>
          <w:rFonts w:hint="eastAsia"/>
        </w:rPr>
        <w:t>技术评分标准</w:t>
      </w:r>
    </w:p>
    <w:tbl>
      <w:tblPr>
        <w:tblStyle w:val="9"/>
        <w:tblW w:w="9000" w:type="dxa"/>
        <w:tblInd w:w="108" w:type="dxa"/>
        <w:tblLayout w:type="autofit"/>
        <w:tblCellMar>
          <w:top w:w="0" w:type="dxa"/>
          <w:left w:w="108" w:type="dxa"/>
          <w:bottom w:w="0" w:type="dxa"/>
          <w:right w:w="108" w:type="dxa"/>
        </w:tblCellMar>
      </w:tblPr>
      <w:tblGrid>
        <w:gridCol w:w="1418"/>
        <w:gridCol w:w="6548"/>
        <w:gridCol w:w="1034"/>
      </w:tblGrid>
      <w:tr>
        <w:tblPrEx>
          <w:tblCellMar>
            <w:top w:w="0" w:type="dxa"/>
            <w:left w:w="108" w:type="dxa"/>
            <w:bottom w:w="0" w:type="dxa"/>
            <w:right w:w="108" w:type="dxa"/>
          </w:tblCellMar>
        </w:tblPrEx>
        <w:trPr>
          <w:trHeight w:val="510" w:hRule="atLeast"/>
        </w:trPr>
        <w:tc>
          <w:tcPr>
            <w:tcW w:w="9000"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Cs w:val="21"/>
                <w:highlight w:val="none"/>
              </w:rPr>
            </w:pPr>
            <w:r>
              <w:rPr>
                <w:rFonts w:hint="eastAsia" w:ascii="宋体" w:hAnsi="宋体" w:cs="宋体"/>
                <w:b/>
                <w:bCs/>
                <w:color w:val="000000"/>
                <w:kern w:val="0"/>
                <w:szCs w:val="21"/>
                <w:highlight w:val="none"/>
              </w:rPr>
              <w:t>技术评分标准</w:t>
            </w:r>
          </w:p>
        </w:tc>
      </w:tr>
      <w:tr>
        <w:tblPrEx>
          <w:tblCellMar>
            <w:top w:w="0" w:type="dxa"/>
            <w:left w:w="108" w:type="dxa"/>
            <w:bottom w:w="0" w:type="dxa"/>
            <w:right w:w="108" w:type="dxa"/>
          </w:tblCellMar>
        </w:tblPrEx>
        <w:trPr>
          <w:trHeight w:val="569" w:hRule="atLeast"/>
        </w:trPr>
        <w:tc>
          <w:tcPr>
            <w:tcW w:w="141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项目</w:t>
            </w:r>
          </w:p>
        </w:tc>
        <w:tc>
          <w:tcPr>
            <w:tcW w:w="6548" w:type="dxa"/>
            <w:tcBorders>
              <w:top w:val="nil"/>
              <w:left w:val="nil"/>
              <w:bottom w:val="single" w:color="auto" w:sz="4" w:space="0"/>
              <w:right w:val="single" w:color="auto" w:sz="4" w:space="0"/>
            </w:tcBorders>
            <w:vAlign w:val="center"/>
          </w:tcPr>
          <w:p>
            <w:pPr>
              <w:widowControl/>
              <w:jc w:val="center"/>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描　　述</w:t>
            </w:r>
          </w:p>
        </w:tc>
        <w:tc>
          <w:tcPr>
            <w:tcW w:w="1034" w:type="dxa"/>
            <w:tcBorders>
              <w:top w:val="nil"/>
              <w:left w:val="nil"/>
              <w:bottom w:val="single" w:color="auto" w:sz="4" w:space="0"/>
              <w:right w:val="single" w:color="auto" w:sz="4" w:space="0"/>
            </w:tcBorders>
            <w:vAlign w:val="center"/>
          </w:tcPr>
          <w:p>
            <w:pPr>
              <w:widowControl/>
              <w:jc w:val="center"/>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分值</w:t>
            </w:r>
          </w:p>
        </w:tc>
      </w:tr>
      <w:tr>
        <w:tblPrEx>
          <w:tblCellMar>
            <w:top w:w="0" w:type="dxa"/>
            <w:left w:w="108" w:type="dxa"/>
            <w:bottom w:w="0" w:type="dxa"/>
            <w:right w:w="108" w:type="dxa"/>
          </w:tblCellMar>
        </w:tblPrEx>
        <w:trPr>
          <w:trHeight w:val="805" w:hRule="atLeast"/>
        </w:trPr>
        <w:tc>
          <w:tcPr>
            <w:tcW w:w="1418" w:type="dxa"/>
            <w:vMerge w:val="restart"/>
            <w:tcBorders>
              <w:top w:val="nil"/>
              <w:left w:val="single" w:color="auto" w:sz="4" w:space="0"/>
              <w:right w:val="single" w:color="auto" w:sz="4" w:space="0"/>
            </w:tcBorders>
            <w:vAlign w:val="center"/>
          </w:tcPr>
          <w:p>
            <w:pPr>
              <w:widowControl/>
              <w:jc w:val="center"/>
              <w:rPr>
                <w:rFonts w:hint="eastAsia" w:ascii="宋体" w:hAnsi="宋体" w:cs="宋体"/>
                <w:color w:val="000000"/>
                <w:kern w:val="0"/>
                <w:szCs w:val="21"/>
                <w:highlight w:val="none"/>
              </w:rPr>
            </w:pPr>
            <w:r>
              <w:rPr>
                <w:rFonts w:hint="eastAsia" w:ascii="宋体" w:hAnsi="宋体" w:cs="宋体"/>
                <w:b/>
                <w:bCs/>
                <w:color w:val="000000"/>
                <w:kern w:val="0"/>
                <w:szCs w:val="21"/>
                <w:highlight w:val="none"/>
              </w:rPr>
              <w:t>企业资质及服务业绩</w:t>
            </w:r>
          </w:p>
        </w:tc>
        <w:tc>
          <w:tcPr>
            <w:tcW w:w="654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w:t>
            </w:r>
            <w:r>
              <w:rPr>
                <w:rFonts w:hint="eastAsia" w:ascii="宋体" w:hAnsi="宋体" w:cs="宋体"/>
                <w:b/>
                <w:bCs/>
                <w:color w:val="000000" w:themeColor="text1"/>
                <w:kern w:val="0"/>
                <w:szCs w:val="21"/>
                <w:highlight w:val="none"/>
                <w14:textFill>
                  <w14:solidFill>
                    <w14:schemeClr w14:val="tx1"/>
                  </w14:solidFill>
                </w14:textFill>
              </w:rPr>
              <w:t>投标人成立时间三年以上，每增加1年得2分，本项最高得6分（以证书原件为准）</w:t>
            </w:r>
          </w:p>
        </w:tc>
        <w:tc>
          <w:tcPr>
            <w:tcW w:w="1034" w:type="dxa"/>
            <w:vMerge w:val="restart"/>
            <w:tcBorders>
              <w:top w:val="nil"/>
              <w:left w:val="single" w:color="auto" w:sz="4" w:space="0"/>
              <w:right w:val="single" w:color="auto" w:sz="4" w:space="0"/>
            </w:tcBorders>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20</w:t>
            </w:r>
          </w:p>
        </w:tc>
      </w:tr>
      <w:tr>
        <w:tblPrEx>
          <w:tblCellMar>
            <w:top w:w="0" w:type="dxa"/>
            <w:left w:w="108" w:type="dxa"/>
            <w:bottom w:w="0" w:type="dxa"/>
            <w:right w:w="108" w:type="dxa"/>
          </w:tblCellMar>
        </w:tblPrEx>
        <w:trPr>
          <w:trHeight w:val="572" w:hRule="atLeast"/>
        </w:trPr>
        <w:tc>
          <w:tcPr>
            <w:tcW w:w="1418" w:type="dxa"/>
            <w:vMerge w:val="continue"/>
            <w:tcBorders>
              <w:left w:val="single" w:color="auto" w:sz="4" w:space="0"/>
              <w:right w:val="single" w:color="auto" w:sz="4" w:space="0"/>
            </w:tcBorders>
            <w:vAlign w:val="center"/>
          </w:tcPr>
          <w:p>
            <w:pPr>
              <w:widowControl/>
              <w:jc w:val="left"/>
              <w:rPr>
                <w:rFonts w:hint="eastAsia" w:ascii="宋体" w:hAnsi="宋体" w:cs="宋体"/>
                <w:color w:val="000000"/>
                <w:kern w:val="0"/>
                <w:szCs w:val="21"/>
                <w:highlight w:val="none"/>
              </w:rPr>
            </w:pPr>
          </w:p>
        </w:tc>
        <w:tc>
          <w:tcPr>
            <w:tcW w:w="654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2.投标人有数据分析平台企业会员，每个数据平台得2分，本项最高得6分（提供相关平台合同或者会员证明）</w:t>
            </w:r>
          </w:p>
        </w:tc>
        <w:tc>
          <w:tcPr>
            <w:tcW w:w="1034" w:type="dxa"/>
            <w:vMerge w:val="continue"/>
            <w:tcBorders>
              <w:left w:val="single" w:color="auto" w:sz="4" w:space="0"/>
              <w:right w:val="single" w:color="auto" w:sz="4" w:space="0"/>
            </w:tcBorders>
            <w:vAlign w:val="center"/>
          </w:tcPr>
          <w:p>
            <w:pPr>
              <w:widowControl/>
              <w:jc w:val="center"/>
              <w:rPr>
                <w:rFonts w:hint="eastAsia" w:ascii="宋体" w:hAnsi="宋体" w:cs="宋体"/>
                <w:color w:val="000000"/>
                <w:kern w:val="0"/>
                <w:szCs w:val="21"/>
                <w:highlight w:val="none"/>
              </w:rPr>
            </w:pPr>
          </w:p>
        </w:tc>
      </w:tr>
      <w:tr>
        <w:tblPrEx>
          <w:tblCellMar>
            <w:top w:w="0" w:type="dxa"/>
            <w:left w:w="108" w:type="dxa"/>
            <w:bottom w:w="0" w:type="dxa"/>
            <w:right w:w="108" w:type="dxa"/>
          </w:tblCellMar>
        </w:tblPrEx>
        <w:trPr>
          <w:trHeight w:val="805" w:hRule="atLeast"/>
        </w:trPr>
        <w:tc>
          <w:tcPr>
            <w:tcW w:w="1418" w:type="dxa"/>
            <w:vMerge w:val="continue"/>
            <w:tcBorders>
              <w:left w:val="single" w:color="auto" w:sz="4" w:space="0"/>
              <w:right w:val="single" w:color="auto" w:sz="4" w:space="0"/>
            </w:tcBorders>
            <w:vAlign w:val="center"/>
          </w:tcPr>
          <w:p>
            <w:pPr>
              <w:widowControl/>
              <w:jc w:val="left"/>
              <w:rPr>
                <w:rFonts w:hint="eastAsia" w:ascii="宋体" w:hAnsi="宋体" w:cs="宋体"/>
                <w:color w:val="000000"/>
                <w:kern w:val="0"/>
                <w:szCs w:val="21"/>
                <w:highlight w:val="none"/>
              </w:rPr>
            </w:pPr>
          </w:p>
        </w:tc>
        <w:tc>
          <w:tcPr>
            <w:tcW w:w="654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3.提供类似汽车行业项目服务业绩，以合同复印件为准，每提供一份得2分，本项最高得6分</w:t>
            </w:r>
          </w:p>
        </w:tc>
        <w:tc>
          <w:tcPr>
            <w:tcW w:w="1034" w:type="dxa"/>
            <w:vMerge w:val="continue"/>
            <w:tcBorders>
              <w:left w:val="single" w:color="auto" w:sz="4" w:space="0"/>
              <w:right w:val="single" w:color="auto" w:sz="4" w:space="0"/>
            </w:tcBorders>
            <w:vAlign w:val="center"/>
          </w:tcPr>
          <w:p>
            <w:pPr>
              <w:widowControl/>
              <w:jc w:val="center"/>
              <w:rPr>
                <w:rFonts w:hint="eastAsia" w:ascii="宋体" w:hAnsi="宋体" w:cs="宋体"/>
                <w:color w:val="000000"/>
                <w:kern w:val="0"/>
                <w:szCs w:val="21"/>
                <w:highlight w:val="none"/>
              </w:rPr>
            </w:pPr>
          </w:p>
        </w:tc>
      </w:tr>
      <w:tr>
        <w:tblPrEx>
          <w:tblCellMar>
            <w:top w:w="0" w:type="dxa"/>
            <w:left w:w="108" w:type="dxa"/>
            <w:bottom w:w="0" w:type="dxa"/>
            <w:right w:w="108" w:type="dxa"/>
          </w:tblCellMar>
        </w:tblPrEx>
        <w:trPr>
          <w:trHeight w:val="805" w:hRule="atLeast"/>
        </w:trPr>
        <w:tc>
          <w:tcPr>
            <w:tcW w:w="1418" w:type="dxa"/>
            <w:vMerge w:val="continue"/>
            <w:tcBorders>
              <w:left w:val="single" w:color="auto" w:sz="4" w:space="0"/>
              <w:bottom w:val="single" w:color="000000" w:sz="4" w:space="0"/>
              <w:right w:val="single" w:color="auto" w:sz="4" w:space="0"/>
            </w:tcBorders>
            <w:vAlign w:val="center"/>
          </w:tcPr>
          <w:p>
            <w:pPr>
              <w:widowControl/>
              <w:jc w:val="left"/>
              <w:rPr>
                <w:rFonts w:hint="eastAsia" w:ascii="宋体" w:hAnsi="宋体" w:cs="宋体"/>
                <w:color w:val="000000"/>
                <w:kern w:val="0"/>
                <w:szCs w:val="21"/>
                <w:highlight w:val="none"/>
              </w:rPr>
            </w:pPr>
          </w:p>
        </w:tc>
        <w:tc>
          <w:tcPr>
            <w:tcW w:w="6548"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rPr>
              <w:t>4.投标人具备国外合法VPN使用渠道，并能应用于国外官方账号运营，</w:t>
            </w:r>
            <w:r>
              <w:rPr>
                <w:rFonts w:hint="eastAsia" w:ascii="宋体" w:hAnsi="宋体" w:cs="宋体"/>
                <w:color w:val="000000"/>
                <w:kern w:val="0"/>
                <w:szCs w:val="21"/>
                <w:highlight w:val="none"/>
                <w:lang w:val="en-US" w:eastAsia="zh-CN"/>
              </w:rPr>
              <w:t>如具备本项得分2分，不具备不得分</w:t>
            </w:r>
          </w:p>
        </w:tc>
        <w:tc>
          <w:tcPr>
            <w:tcW w:w="1034" w:type="dxa"/>
            <w:vMerge w:val="continue"/>
            <w:tcBorders>
              <w:left w:val="single" w:color="auto" w:sz="4" w:space="0"/>
              <w:bottom w:val="single" w:color="000000" w:sz="4" w:space="0"/>
              <w:right w:val="single" w:color="auto" w:sz="4" w:space="0"/>
            </w:tcBorders>
            <w:vAlign w:val="center"/>
          </w:tcPr>
          <w:p>
            <w:pPr>
              <w:widowControl/>
              <w:jc w:val="center"/>
              <w:rPr>
                <w:rFonts w:hint="eastAsia" w:ascii="宋体" w:hAnsi="宋体" w:cs="宋体"/>
                <w:color w:val="000000"/>
                <w:kern w:val="0"/>
                <w:szCs w:val="21"/>
                <w:highlight w:val="none"/>
              </w:rPr>
            </w:pPr>
          </w:p>
        </w:tc>
      </w:tr>
      <w:tr>
        <w:tblPrEx>
          <w:tblCellMar>
            <w:top w:w="0" w:type="dxa"/>
            <w:left w:w="108" w:type="dxa"/>
            <w:bottom w:w="0" w:type="dxa"/>
            <w:right w:w="108" w:type="dxa"/>
          </w:tblCellMar>
        </w:tblPrEx>
        <w:trPr>
          <w:trHeight w:val="1998" w:hRule="atLeast"/>
        </w:trPr>
        <w:tc>
          <w:tcPr>
            <w:tcW w:w="1418" w:type="dxa"/>
            <w:vMerge w:val="restart"/>
            <w:tcBorders>
              <w:top w:val="nil"/>
              <w:left w:val="single" w:color="auto" w:sz="4" w:space="0"/>
              <w:right w:val="single" w:color="auto" w:sz="4" w:space="0"/>
            </w:tcBorders>
            <w:vAlign w:val="center"/>
          </w:tcPr>
          <w:p>
            <w:pPr>
              <w:widowControl/>
              <w:jc w:val="center"/>
              <w:rPr>
                <w:rFonts w:hint="eastAsia" w:ascii="宋体" w:hAnsi="宋体" w:cs="宋体"/>
                <w:color w:val="000000"/>
                <w:kern w:val="0"/>
                <w:szCs w:val="21"/>
                <w:highlight w:val="none"/>
              </w:rPr>
            </w:pPr>
          </w:p>
          <w:p>
            <w:pPr>
              <w:widowControl/>
              <w:jc w:val="center"/>
              <w:rPr>
                <w:rFonts w:hint="eastAsia" w:ascii="宋体" w:hAnsi="宋体" w:cs="宋体"/>
                <w:color w:val="000000"/>
                <w:kern w:val="0"/>
                <w:szCs w:val="21"/>
                <w:highlight w:val="none"/>
              </w:rPr>
            </w:pPr>
          </w:p>
          <w:p>
            <w:pPr>
              <w:widowControl/>
              <w:jc w:val="center"/>
              <w:rPr>
                <w:rFonts w:hint="eastAsia" w:ascii="宋体" w:hAnsi="宋体" w:cs="宋体"/>
                <w:color w:val="000000"/>
                <w:kern w:val="0"/>
                <w:szCs w:val="21"/>
                <w:highlight w:val="none"/>
              </w:rPr>
            </w:pPr>
          </w:p>
          <w:p>
            <w:pPr>
              <w:widowControl/>
              <w:jc w:val="center"/>
              <w:rPr>
                <w:rFonts w:hint="eastAsia" w:ascii="宋体" w:hAnsi="宋体" w:cs="宋体"/>
                <w:color w:val="000000"/>
                <w:kern w:val="0"/>
                <w:szCs w:val="21"/>
                <w:highlight w:val="none"/>
              </w:rPr>
            </w:pPr>
          </w:p>
          <w:p>
            <w:pPr>
              <w:widowControl/>
              <w:jc w:val="center"/>
              <w:rPr>
                <w:rFonts w:hint="eastAsia" w:ascii="宋体" w:hAnsi="宋体" w:cs="宋体"/>
                <w:color w:val="000000"/>
                <w:kern w:val="0"/>
                <w:szCs w:val="21"/>
                <w:highlight w:val="none"/>
              </w:rPr>
            </w:pPr>
          </w:p>
          <w:p>
            <w:pPr>
              <w:widowControl/>
              <w:jc w:val="center"/>
              <w:rPr>
                <w:rFonts w:hint="eastAsia" w:ascii="宋体" w:hAnsi="宋体" w:cs="宋体"/>
                <w:color w:val="000000"/>
                <w:kern w:val="0"/>
                <w:szCs w:val="21"/>
                <w:highlight w:val="none"/>
              </w:rPr>
            </w:pPr>
          </w:p>
          <w:p>
            <w:pPr>
              <w:widowControl/>
              <w:jc w:val="center"/>
              <w:rPr>
                <w:rFonts w:hint="eastAsia" w:ascii="宋体" w:hAnsi="宋体" w:cs="宋体"/>
                <w:color w:val="000000"/>
                <w:kern w:val="0"/>
                <w:szCs w:val="21"/>
                <w:highlight w:val="none"/>
              </w:rPr>
            </w:pPr>
            <w:r>
              <w:rPr>
                <w:rFonts w:hint="eastAsia" w:ascii="宋体" w:hAnsi="宋体" w:cs="宋体"/>
                <w:b/>
                <w:bCs/>
                <w:color w:val="000000"/>
                <w:kern w:val="0"/>
                <w:szCs w:val="21"/>
                <w:highlight w:val="none"/>
              </w:rPr>
              <w:t>策划及执行规划</w:t>
            </w:r>
          </w:p>
        </w:tc>
        <w:tc>
          <w:tcPr>
            <w:tcW w:w="6548" w:type="dxa"/>
            <w:tcBorders>
              <w:top w:val="nil"/>
              <w:left w:val="nil"/>
              <w:bottom w:val="single" w:color="auto" w:sz="4" w:space="0"/>
              <w:right w:val="single" w:color="auto" w:sz="4" w:space="0"/>
            </w:tcBorders>
            <w:vAlign w:val="center"/>
          </w:tcPr>
          <w:p>
            <w:pPr>
              <w:widowControl/>
              <w:numPr>
                <w:ilvl w:val="0"/>
                <w:numId w:val="12"/>
              </w:numPr>
              <w:jc w:val="left"/>
              <w:rPr>
                <w:rFonts w:hint="eastAsia" w:ascii="宋体" w:hAnsi="宋体" w:cs="宋体"/>
                <w:color w:val="000000"/>
                <w:kern w:val="0"/>
                <w:szCs w:val="21"/>
                <w:highlight w:val="none"/>
              </w:rPr>
            </w:pPr>
            <w:r>
              <w:rPr>
                <w:rFonts w:hint="eastAsia" w:ascii="宋体" w:hAnsi="宋体" w:cs="宋体"/>
                <w:b/>
                <w:bCs/>
                <w:color w:val="000000"/>
                <w:kern w:val="0"/>
                <w:szCs w:val="21"/>
                <w:highlight w:val="none"/>
              </w:rPr>
              <w:t>运营策略及传播规划：</w:t>
            </w:r>
            <w:r>
              <w:rPr>
                <w:rFonts w:hint="eastAsia" w:ascii="宋体" w:hAnsi="宋体" w:cs="宋体"/>
                <w:color w:val="000000"/>
                <w:kern w:val="0"/>
                <w:szCs w:val="21"/>
                <w:highlight w:val="none"/>
              </w:rPr>
              <w:t>能够出具年度和阶段性传播方案，内容包含但不仅限于平台账号运营策略、短视频和直播规划等，思路清晰、丰富详实，精准契合中国重汽集团济南专用车有限公司需求并有较强的可实施性得1</w:t>
            </w:r>
            <w:r>
              <w:rPr>
                <w:rFonts w:hint="eastAsia" w:ascii="宋体" w:hAnsi="宋体" w:cs="宋体"/>
                <w:color w:val="000000"/>
                <w:kern w:val="0"/>
                <w:szCs w:val="21"/>
                <w:highlight w:val="none"/>
                <w:lang w:val="en-US" w:eastAsia="zh-CN"/>
              </w:rPr>
              <w:t>3</w:t>
            </w:r>
            <w:r>
              <w:rPr>
                <w:rFonts w:hint="eastAsia" w:ascii="宋体" w:hAnsi="宋体" w:cs="宋体"/>
                <w:color w:val="000000"/>
                <w:kern w:val="0"/>
                <w:szCs w:val="21"/>
                <w:highlight w:val="none"/>
              </w:rPr>
              <w:t>分；方案笼统、借用既有素材过多或不能详细展现实施规划，每有一项扣2分；没有逻辑，规划不合理的不得分，本项最高得13分</w:t>
            </w:r>
          </w:p>
        </w:tc>
        <w:tc>
          <w:tcPr>
            <w:tcW w:w="1034" w:type="dxa"/>
            <w:vMerge w:val="restart"/>
            <w:tcBorders>
              <w:top w:val="nil"/>
              <w:left w:val="single" w:color="auto" w:sz="4" w:space="0"/>
              <w:right w:val="single" w:color="auto" w:sz="4" w:space="0"/>
            </w:tcBorders>
            <w:vAlign w:val="center"/>
          </w:tcPr>
          <w:p>
            <w:pPr>
              <w:widowControl/>
              <w:jc w:val="center"/>
              <w:rPr>
                <w:rFonts w:hint="eastAsia" w:ascii="宋体" w:hAnsi="宋体" w:cs="宋体"/>
                <w:color w:val="000000"/>
                <w:kern w:val="0"/>
                <w:szCs w:val="21"/>
                <w:highlight w:val="none"/>
              </w:rPr>
            </w:pPr>
          </w:p>
          <w:p>
            <w:pPr>
              <w:widowControl/>
              <w:jc w:val="center"/>
              <w:rPr>
                <w:rFonts w:hint="eastAsia" w:ascii="宋体" w:hAnsi="宋体" w:cs="宋体"/>
                <w:color w:val="000000"/>
                <w:kern w:val="0"/>
                <w:szCs w:val="21"/>
                <w:highlight w:val="none"/>
              </w:rPr>
            </w:pPr>
          </w:p>
          <w:p>
            <w:pPr>
              <w:widowControl/>
              <w:jc w:val="center"/>
              <w:rPr>
                <w:rFonts w:hint="eastAsia" w:ascii="宋体" w:hAnsi="宋体" w:cs="宋体"/>
                <w:color w:val="000000"/>
                <w:kern w:val="0"/>
                <w:szCs w:val="21"/>
                <w:highlight w:val="none"/>
              </w:rPr>
            </w:pPr>
          </w:p>
          <w:p>
            <w:pPr>
              <w:widowControl/>
              <w:jc w:val="center"/>
              <w:rPr>
                <w:rFonts w:hint="eastAsia" w:ascii="宋体" w:hAnsi="宋体" w:cs="宋体"/>
                <w:color w:val="000000"/>
                <w:kern w:val="0"/>
                <w:szCs w:val="21"/>
                <w:highlight w:val="none"/>
              </w:rPr>
            </w:pPr>
          </w:p>
          <w:p>
            <w:pPr>
              <w:widowControl/>
              <w:jc w:val="center"/>
              <w:rPr>
                <w:rFonts w:hint="eastAsia" w:ascii="宋体" w:hAnsi="宋体" w:cs="宋体"/>
                <w:color w:val="000000"/>
                <w:kern w:val="0"/>
                <w:szCs w:val="21"/>
                <w:highlight w:val="none"/>
              </w:rPr>
            </w:pPr>
          </w:p>
          <w:p>
            <w:pPr>
              <w:widowControl/>
              <w:jc w:val="center"/>
              <w:rPr>
                <w:rFonts w:hint="eastAsia" w:ascii="宋体" w:hAnsi="宋体" w:cs="宋体"/>
                <w:color w:val="000000"/>
                <w:kern w:val="0"/>
                <w:szCs w:val="21"/>
                <w:highlight w:val="none"/>
              </w:rPr>
            </w:pPr>
          </w:p>
          <w:p>
            <w:pPr>
              <w:widowControl/>
              <w:jc w:val="center"/>
              <w:rPr>
                <w:rFonts w:hint="eastAsia" w:ascii="宋体" w:hAnsi="宋体" w:cs="宋体"/>
                <w:color w:val="000000"/>
                <w:kern w:val="0"/>
                <w:szCs w:val="21"/>
                <w:highlight w:val="none"/>
              </w:rPr>
            </w:pPr>
          </w:p>
          <w:p>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65</w:t>
            </w:r>
          </w:p>
        </w:tc>
      </w:tr>
      <w:tr>
        <w:tblPrEx>
          <w:tblCellMar>
            <w:top w:w="0" w:type="dxa"/>
            <w:left w:w="108" w:type="dxa"/>
            <w:bottom w:w="0" w:type="dxa"/>
            <w:right w:w="108" w:type="dxa"/>
          </w:tblCellMar>
        </w:tblPrEx>
        <w:trPr>
          <w:trHeight w:val="1600" w:hRule="atLeast"/>
        </w:trPr>
        <w:tc>
          <w:tcPr>
            <w:tcW w:w="1418" w:type="dxa"/>
            <w:vMerge w:val="continue"/>
            <w:tcBorders>
              <w:left w:val="single" w:color="auto" w:sz="4" w:space="0"/>
              <w:right w:val="single" w:color="auto" w:sz="4" w:space="0"/>
            </w:tcBorders>
            <w:vAlign w:val="center"/>
          </w:tcPr>
          <w:p>
            <w:pPr>
              <w:widowControl/>
              <w:jc w:val="left"/>
              <w:rPr>
                <w:rFonts w:hint="eastAsia" w:ascii="宋体" w:hAnsi="宋体" w:cs="宋体"/>
                <w:color w:val="000000"/>
                <w:kern w:val="0"/>
                <w:szCs w:val="21"/>
                <w:highlight w:val="none"/>
              </w:rPr>
            </w:pPr>
          </w:p>
        </w:tc>
        <w:tc>
          <w:tcPr>
            <w:tcW w:w="654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Cs w:val="21"/>
                <w:highlight w:val="none"/>
              </w:rPr>
            </w:pPr>
            <w:r>
              <w:rPr>
                <w:rFonts w:hint="eastAsia" w:ascii="宋体" w:hAnsi="宋体" w:cs="宋体"/>
                <w:b/>
                <w:bCs/>
                <w:color w:val="000000"/>
                <w:kern w:val="0"/>
                <w:szCs w:val="21"/>
                <w:highlight w:val="none"/>
              </w:rPr>
              <w:t>2.短视频执行：</w:t>
            </w:r>
            <w:r>
              <w:rPr>
                <w:rFonts w:hint="eastAsia" w:ascii="宋体" w:hAnsi="宋体" w:cs="宋体"/>
                <w:color w:val="000000"/>
                <w:kern w:val="0"/>
                <w:szCs w:val="21"/>
                <w:highlight w:val="none"/>
              </w:rPr>
              <w:t>满足项目KPI的前提下，能够充分考虑平台特性及市场、行业动向，规划清晰的短视频执行方案，具备策划主题活动内容的能力，</w:t>
            </w:r>
            <w:r>
              <w:rPr>
                <w:rFonts w:hint="eastAsia" w:ascii="宋体" w:hAnsi="宋体" w:cs="宋体"/>
                <w:color w:val="000000"/>
                <w:kern w:val="0"/>
                <w:szCs w:val="21"/>
                <w:highlight w:val="none"/>
                <w:lang w:val="en-US" w:eastAsia="zh-CN"/>
              </w:rPr>
              <w:t>要求策划不少于4个主题方案，每个方案</w:t>
            </w:r>
            <w:r>
              <w:rPr>
                <w:rFonts w:hint="eastAsia" w:ascii="宋体" w:hAnsi="宋体" w:cs="宋体"/>
                <w:color w:val="000000"/>
                <w:kern w:val="0"/>
                <w:szCs w:val="21"/>
                <w:highlight w:val="none"/>
              </w:rPr>
              <w:t>富有创意、特色且有引流措施的，得1</w:t>
            </w:r>
            <w:r>
              <w:rPr>
                <w:rFonts w:hint="eastAsia" w:ascii="宋体" w:hAnsi="宋体" w:cs="宋体"/>
                <w:color w:val="000000"/>
                <w:kern w:val="0"/>
                <w:szCs w:val="21"/>
                <w:highlight w:val="none"/>
                <w:lang w:val="en-US" w:eastAsia="zh-CN"/>
              </w:rPr>
              <w:t>3</w:t>
            </w:r>
            <w:r>
              <w:rPr>
                <w:rFonts w:hint="eastAsia" w:ascii="宋体" w:hAnsi="宋体" w:cs="宋体"/>
                <w:color w:val="000000"/>
                <w:kern w:val="0"/>
                <w:szCs w:val="21"/>
                <w:highlight w:val="none"/>
              </w:rPr>
              <w:t>分；对于短视频规划不清晰，</w:t>
            </w:r>
            <w:r>
              <w:rPr>
                <w:rFonts w:hint="eastAsia" w:ascii="宋体" w:hAnsi="宋体" w:cs="宋体"/>
                <w:color w:val="000000"/>
                <w:kern w:val="0"/>
                <w:szCs w:val="21"/>
                <w:highlight w:val="none"/>
                <w:lang w:val="en-US" w:eastAsia="zh-CN"/>
              </w:rPr>
              <w:t>少一个方案或</w:t>
            </w:r>
            <w:r>
              <w:rPr>
                <w:rFonts w:hint="eastAsia" w:ascii="宋体" w:hAnsi="宋体" w:cs="宋体"/>
                <w:color w:val="000000"/>
                <w:kern w:val="0"/>
                <w:szCs w:val="21"/>
                <w:highlight w:val="none"/>
              </w:rPr>
              <w:t>方案每有一处不合理、不完善、无针对性扣2分。本项最高得13分</w:t>
            </w:r>
          </w:p>
        </w:tc>
        <w:tc>
          <w:tcPr>
            <w:tcW w:w="1034" w:type="dxa"/>
            <w:vMerge w:val="continue"/>
            <w:tcBorders>
              <w:left w:val="single" w:color="auto" w:sz="4" w:space="0"/>
              <w:right w:val="single" w:color="auto" w:sz="4" w:space="0"/>
            </w:tcBorders>
            <w:vAlign w:val="center"/>
          </w:tcPr>
          <w:p>
            <w:pPr>
              <w:widowControl/>
              <w:jc w:val="center"/>
              <w:rPr>
                <w:rFonts w:hint="eastAsia" w:ascii="宋体" w:hAnsi="宋体" w:cs="宋体"/>
                <w:color w:val="000000"/>
                <w:kern w:val="0"/>
                <w:szCs w:val="21"/>
                <w:highlight w:val="none"/>
              </w:rPr>
            </w:pPr>
          </w:p>
        </w:tc>
      </w:tr>
      <w:tr>
        <w:tblPrEx>
          <w:tblCellMar>
            <w:top w:w="0" w:type="dxa"/>
            <w:left w:w="108" w:type="dxa"/>
            <w:bottom w:w="0" w:type="dxa"/>
            <w:right w:w="108" w:type="dxa"/>
          </w:tblCellMar>
        </w:tblPrEx>
        <w:trPr>
          <w:trHeight w:val="1998" w:hRule="atLeast"/>
        </w:trPr>
        <w:tc>
          <w:tcPr>
            <w:tcW w:w="1418" w:type="dxa"/>
            <w:vMerge w:val="continue"/>
            <w:tcBorders>
              <w:left w:val="single" w:color="auto" w:sz="4" w:space="0"/>
              <w:right w:val="single" w:color="auto" w:sz="4" w:space="0"/>
            </w:tcBorders>
            <w:vAlign w:val="center"/>
          </w:tcPr>
          <w:p>
            <w:pPr>
              <w:widowControl/>
              <w:jc w:val="left"/>
              <w:rPr>
                <w:rFonts w:hint="eastAsia" w:ascii="宋体" w:hAnsi="宋体" w:cs="宋体"/>
                <w:color w:val="000000"/>
                <w:kern w:val="0"/>
                <w:szCs w:val="21"/>
                <w:highlight w:val="none"/>
              </w:rPr>
            </w:pPr>
          </w:p>
        </w:tc>
        <w:tc>
          <w:tcPr>
            <w:tcW w:w="654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Cs w:val="21"/>
                <w:highlight w:val="none"/>
              </w:rPr>
            </w:pPr>
            <w:r>
              <w:rPr>
                <w:rFonts w:hint="eastAsia" w:ascii="宋体" w:hAnsi="宋体" w:cs="宋体"/>
                <w:b/>
                <w:bCs/>
                <w:color w:val="000000"/>
                <w:kern w:val="0"/>
                <w:szCs w:val="21"/>
                <w:highlight w:val="none"/>
              </w:rPr>
              <w:t>3.直播执行：</w:t>
            </w:r>
            <w:r>
              <w:rPr>
                <w:rFonts w:hint="eastAsia" w:ascii="宋体" w:hAnsi="宋体" w:cs="宋体"/>
                <w:color w:val="000000"/>
                <w:kern w:val="0"/>
                <w:szCs w:val="21"/>
                <w:highlight w:val="none"/>
              </w:rPr>
              <w:t>满足项目KPI的前提下，能够充分考虑平台特性及市场、行业动向，</w:t>
            </w:r>
            <w:bookmarkStart w:id="7" w:name="OLE_LINK2"/>
            <w:r>
              <w:rPr>
                <w:rFonts w:hint="eastAsia" w:ascii="宋体" w:hAnsi="宋体" w:cs="宋体"/>
                <w:color w:val="000000"/>
                <w:kern w:val="0"/>
                <w:szCs w:val="21"/>
                <w:highlight w:val="none"/>
              </w:rPr>
              <w:t>清晰规划日常直播执行方案，</w:t>
            </w:r>
            <w:bookmarkEnd w:id="7"/>
            <w:r>
              <w:rPr>
                <w:rFonts w:hint="eastAsia" w:ascii="宋体" w:hAnsi="宋体" w:cs="宋体"/>
                <w:color w:val="000000"/>
                <w:kern w:val="0"/>
                <w:szCs w:val="21"/>
                <w:highlight w:val="none"/>
              </w:rPr>
              <w:t>利用技术手段提升直播间观感，体现直播间搭建规划和引流措施的，得1</w:t>
            </w:r>
            <w:r>
              <w:rPr>
                <w:rFonts w:hint="eastAsia" w:ascii="宋体" w:hAnsi="宋体" w:cs="宋体"/>
                <w:color w:val="000000"/>
                <w:kern w:val="0"/>
                <w:szCs w:val="21"/>
                <w:highlight w:val="none"/>
                <w:lang w:val="en-US" w:eastAsia="zh-CN"/>
              </w:rPr>
              <w:t>3</w:t>
            </w:r>
            <w:r>
              <w:rPr>
                <w:rFonts w:hint="eastAsia" w:ascii="宋体" w:hAnsi="宋体" w:cs="宋体"/>
                <w:color w:val="000000"/>
                <w:kern w:val="0"/>
                <w:szCs w:val="21"/>
                <w:highlight w:val="none"/>
              </w:rPr>
              <w:t>分；对于直播规划不清晰，执行方案不合理、不完善、无针对性每有一处扣2分。本项最高得13分</w:t>
            </w:r>
          </w:p>
        </w:tc>
        <w:tc>
          <w:tcPr>
            <w:tcW w:w="1034" w:type="dxa"/>
            <w:vMerge w:val="continue"/>
            <w:tcBorders>
              <w:left w:val="single" w:color="auto" w:sz="4" w:space="0"/>
              <w:right w:val="single" w:color="auto" w:sz="4" w:space="0"/>
            </w:tcBorders>
            <w:vAlign w:val="center"/>
          </w:tcPr>
          <w:p>
            <w:pPr>
              <w:widowControl/>
              <w:jc w:val="center"/>
              <w:rPr>
                <w:rFonts w:hint="eastAsia" w:ascii="宋体" w:hAnsi="宋体" w:cs="宋体"/>
                <w:color w:val="000000"/>
                <w:kern w:val="0"/>
                <w:szCs w:val="21"/>
                <w:highlight w:val="none"/>
              </w:rPr>
            </w:pPr>
          </w:p>
        </w:tc>
      </w:tr>
      <w:tr>
        <w:tblPrEx>
          <w:tblCellMar>
            <w:top w:w="0" w:type="dxa"/>
            <w:left w:w="108" w:type="dxa"/>
            <w:bottom w:w="0" w:type="dxa"/>
            <w:right w:w="108" w:type="dxa"/>
          </w:tblCellMar>
        </w:tblPrEx>
        <w:trPr>
          <w:trHeight w:val="2395" w:hRule="atLeast"/>
        </w:trPr>
        <w:tc>
          <w:tcPr>
            <w:tcW w:w="1418" w:type="dxa"/>
            <w:vMerge w:val="continue"/>
            <w:tcBorders>
              <w:left w:val="single" w:color="auto" w:sz="4" w:space="0"/>
              <w:right w:val="single" w:color="auto" w:sz="4" w:space="0"/>
            </w:tcBorders>
            <w:vAlign w:val="center"/>
          </w:tcPr>
          <w:p>
            <w:pPr>
              <w:widowControl/>
              <w:jc w:val="left"/>
              <w:rPr>
                <w:rFonts w:hint="eastAsia" w:ascii="宋体" w:hAnsi="宋体" w:cs="宋体"/>
                <w:color w:val="000000"/>
                <w:kern w:val="0"/>
                <w:szCs w:val="21"/>
                <w:highlight w:val="none"/>
              </w:rPr>
            </w:pPr>
          </w:p>
        </w:tc>
        <w:tc>
          <w:tcPr>
            <w:tcW w:w="6548" w:type="dxa"/>
            <w:tcBorders>
              <w:top w:val="nil"/>
              <w:left w:val="nil"/>
              <w:bottom w:val="single" w:color="auto" w:sz="4" w:space="0"/>
              <w:right w:val="single" w:color="auto" w:sz="4" w:space="0"/>
            </w:tcBorders>
            <w:vAlign w:val="center"/>
          </w:tcPr>
          <w:p>
            <w:pPr>
              <w:widowControl/>
              <w:jc w:val="left"/>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4.复盘与分析：</w:t>
            </w:r>
            <w:r>
              <w:rPr>
                <w:rFonts w:hint="eastAsia" w:ascii="宋体" w:hAnsi="宋体" w:cs="宋体"/>
                <w:color w:val="000000"/>
                <w:kern w:val="0"/>
                <w:szCs w:val="21"/>
                <w:highlight w:val="none"/>
              </w:rPr>
              <w:t>较强的日常数据记录、整合和分析能力，对执行情况进行复盘，可以提供全面的账号运营总结框架且分析维度合理，拥有科学的数据获取途径，掌握竞品和汽车行业账号情况，为后续提升提供有利的参考，能够全部满足需求，得1</w:t>
            </w:r>
            <w:r>
              <w:rPr>
                <w:rFonts w:hint="eastAsia" w:ascii="宋体" w:hAnsi="宋体" w:cs="宋体"/>
                <w:color w:val="000000"/>
                <w:kern w:val="0"/>
                <w:szCs w:val="21"/>
                <w:highlight w:val="none"/>
                <w:lang w:val="en-US" w:eastAsia="zh-CN"/>
              </w:rPr>
              <w:t>3</w:t>
            </w:r>
            <w:r>
              <w:rPr>
                <w:rFonts w:hint="eastAsia" w:ascii="宋体" w:hAnsi="宋体" w:cs="宋体"/>
                <w:color w:val="000000"/>
                <w:kern w:val="0"/>
                <w:szCs w:val="21"/>
                <w:highlight w:val="none"/>
              </w:rPr>
              <w:t>分；对于复盘规划不清晰，不合理，数据获取途径不明确的每有一处扣2分。本项最高得13分</w:t>
            </w:r>
          </w:p>
        </w:tc>
        <w:tc>
          <w:tcPr>
            <w:tcW w:w="1034" w:type="dxa"/>
            <w:vMerge w:val="continue"/>
            <w:tcBorders>
              <w:left w:val="single" w:color="auto" w:sz="4" w:space="0"/>
              <w:right w:val="single" w:color="auto" w:sz="4" w:space="0"/>
            </w:tcBorders>
            <w:vAlign w:val="center"/>
          </w:tcPr>
          <w:p>
            <w:pPr>
              <w:widowControl/>
              <w:jc w:val="center"/>
              <w:rPr>
                <w:rFonts w:hint="eastAsia" w:ascii="宋体" w:hAnsi="宋体" w:cs="宋体"/>
                <w:color w:val="000000"/>
                <w:kern w:val="0"/>
                <w:szCs w:val="21"/>
                <w:highlight w:val="none"/>
              </w:rPr>
            </w:pPr>
          </w:p>
        </w:tc>
      </w:tr>
      <w:tr>
        <w:tblPrEx>
          <w:tblCellMar>
            <w:top w:w="0" w:type="dxa"/>
            <w:left w:w="108" w:type="dxa"/>
            <w:bottom w:w="0" w:type="dxa"/>
            <w:right w:w="108" w:type="dxa"/>
          </w:tblCellMar>
        </w:tblPrEx>
        <w:trPr>
          <w:trHeight w:val="1858" w:hRule="atLeast"/>
        </w:trPr>
        <w:tc>
          <w:tcPr>
            <w:tcW w:w="1418" w:type="dxa"/>
            <w:vMerge w:val="continue"/>
            <w:tcBorders>
              <w:left w:val="single" w:color="auto" w:sz="4" w:space="0"/>
              <w:right w:val="single" w:color="auto" w:sz="4" w:space="0"/>
            </w:tcBorders>
            <w:vAlign w:val="center"/>
          </w:tcPr>
          <w:p>
            <w:pPr>
              <w:widowControl/>
              <w:jc w:val="left"/>
              <w:rPr>
                <w:rFonts w:hint="eastAsia" w:ascii="宋体" w:hAnsi="宋体" w:cs="宋体"/>
                <w:color w:val="000000"/>
                <w:kern w:val="0"/>
                <w:szCs w:val="21"/>
                <w:highlight w:val="none"/>
              </w:rPr>
            </w:pPr>
          </w:p>
        </w:tc>
        <w:tc>
          <w:tcPr>
            <w:tcW w:w="6548" w:type="dxa"/>
            <w:tcBorders>
              <w:top w:val="nil"/>
              <w:left w:val="nil"/>
              <w:bottom w:val="single" w:color="auto" w:sz="4" w:space="0"/>
              <w:right w:val="single" w:color="auto" w:sz="4" w:space="0"/>
            </w:tcBorders>
            <w:vAlign w:val="center"/>
          </w:tcPr>
          <w:p>
            <w:pPr>
              <w:widowControl/>
              <w:jc w:val="left"/>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5、平台洞察：</w:t>
            </w:r>
            <w:r>
              <w:rPr>
                <w:rFonts w:hint="eastAsia" w:ascii="宋体" w:hAnsi="宋体" w:cs="宋体"/>
                <w:color w:val="000000"/>
                <w:kern w:val="0"/>
                <w:szCs w:val="21"/>
                <w:highlight w:val="none"/>
              </w:rPr>
              <w:t>通过科学的途径，及时了解运营平台规则的更新、组件功能的调整、实时热度话题等，为运营提供有针对性的指导，能够满足需求得8分；无法及时把握所运营平台的更新和调整，对热度话题不敏感，无法提出有针对性的执行指导每有一处扣3分。本项最高得8分</w:t>
            </w:r>
          </w:p>
        </w:tc>
        <w:tc>
          <w:tcPr>
            <w:tcW w:w="1034" w:type="dxa"/>
            <w:vMerge w:val="continue"/>
            <w:tcBorders>
              <w:left w:val="single" w:color="auto" w:sz="4" w:space="0"/>
              <w:right w:val="single" w:color="auto" w:sz="4" w:space="0"/>
            </w:tcBorders>
            <w:vAlign w:val="center"/>
          </w:tcPr>
          <w:p>
            <w:pPr>
              <w:widowControl/>
              <w:jc w:val="center"/>
              <w:rPr>
                <w:rFonts w:hint="eastAsia" w:ascii="宋体" w:hAnsi="宋体" w:cs="宋体"/>
                <w:color w:val="000000"/>
                <w:kern w:val="0"/>
                <w:szCs w:val="21"/>
                <w:highlight w:val="none"/>
              </w:rPr>
            </w:pPr>
          </w:p>
        </w:tc>
      </w:tr>
      <w:tr>
        <w:tblPrEx>
          <w:tblCellMar>
            <w:top w:w="0" w:type="dxa"/>
            <w:left w:w="108" w:type="dxa"/>
            <w:bottom w:w="0" w:type="dxa"/>
            <w:right w:w="108" w:type="dxa"/>
          </w:tblCellMar>
        </w:tblPrEx>
        <w:trPr>
          <w:trHeight w:val="1194" w:hRule="atLeast"/>
        </w:trPr>
        <w:tc>
          <w:tcPr>
            <w:tcW w:w="1418"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Cs w:val="21"/>
                <w:highlight w:val="none"/>
              </w:rPr>
            </w:pPr>
          </w:p>
        </w:tc>
        <w:tc>
          <w:tcPr>
            <w:tcW w:w="6548" w:type="dxa"/>
            <w:tcBorders>
              <w:top w:val="nil"/>
              <w:left w:val="nil"/>
              <w:bottom w:val="single" w:color="auto" w:sz="4" w:space="0"/>
              <w:right w:val="single" w:color="auto" w:sz="4" w:space="0"/>
            </w:tcBorders>
            <w:vAlign w:val="center"/>
          </w:tcPr>
          <w:p>
            <w:pPr>
              <w:widowControl/>
              <w:jc w:val="left"/>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6、IP 形象设计：</w:t>
            </w:r>
            <w:r>
              <w:rPr>
                <w:rFonts w:hint="eastAsia" w:ascii="宋体" w:hAnsi="宋体" w:cs="宋体"/>
                <w:color w:val="000000"/>
                <w:kern w:val="0"/>
                <w:szCs w:val="21"/>
                <w:highlight w:val="none"/>
              </w:rPr>
              <w:t>结合公司企业文化及绿叶标识，设计公司IP形象并详细阐述，</w:t>
            </w:r>
            <w:r>
              <w:rPr>
                <w:rFonts w:hint="eastAsia" w:ascii="宋体" w:hAnsi="宋体" w:cs="宋体"/>
                <w:color w:val="000000"/>
                <w:kern w:val="0"/>
                <w:szCs w:val="21"/>
                <w:highlight w:val="none"/>
                <w:lang w:val="en-US" w:eastAsia="zh-CN"/>
              </w:rPr>
              <w:t>根据设计亮点进行评分，</w:t>
            </w:r>
            <w:r>
              <w:rPr>
                <w:rFonts w:hint="eastAsia" w:ascii="宋体" w:hAnsi="宋体" w:cs="宋体"/>
                <w:color w:val="000000"/>
                <w:kern w:val="0"/>
                <w:szCs w:val="21"/>
                <w:highlight w:val="none"/>
              </w:rPr>
              <w:t>最高得分5分。</w:t>
            </w:r>
          </w:p>
        </w:tc>
        <w:tc>
          <w:tcPr>
            <w:tcW w:w="1034"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Cs w:val="21"/>
                <w:highlight w:val="none"/>
              </w:rPr>
            </w:pPr>
          </w:p>
        </w:tc>
      </w:tr>
      <w:tr>
        <w:tblPrEx>
          <w:tblCellMar>
            <w:top w:w="0" w:type="dxa"/>
            <w:left w:w="108" w:type="dxa"/>
            <w:bottom w:w="0" w:type="dxa"/>
            <w:right w:w="108" w:type="dxa"/>
          </w:tblCellMar>
        </w:tblPrEx>
        <w:trPr>
          <w:trHeight w:val="1202" w:hRule="atLeast"/>
        </w:trPr>
        <w:tc>
          <w:tcPr>
            <w:tcW w:w="1418"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宋体"/>
                <w:color w:val="000000"/>
                <w:kern w:val="0"/>
                <w:szCs w:val="21"/>
                <w:highlight w:val="none"/>
              </w:rPr>
            </w:pPr>
            <w:r>
              <w:rPr>
                <w:rFonts w:hint="eastAsia" w:ascii="宋体" w:hAnsi="宋体" w:cs="宋体"/>
                <w:b/>
                <w:bCs/>
                <w:color w:val="000000"/>
                <w:kern w:val="0"/>
                <w:szCs w:val="21"/>
                <w:highlight w:val="none"/>
              </w:rPr>
              <w:t>服务保障</w:t>
            </w:r>
          </w:p>
        </w:tc>
        <w:tc>
          <w:tcPr>
            <w:tcW w:w="6548"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Cs w:val="21"/>
                <w:highlight w:val="none"/>
              </w:rPr>
            </w:pPr>
            <w:r>
              <w:rPr>
                <w:rFonts w:hint="eastAsia" w:ascii="宋体" w:hAnsi="宋体" w:cs="宋体"/>
                <w:b/>
                <w:bCs/>
                <w:color w:val="000000"/>
                <w:kern w:val="0"/>
                <w:szCs w:val="21"/>
                <w:highlight w:val="none"/>
              </w:rPr>
              <w:t>1.项目执行经理：</w:t>
            </w:r>
            <w:r>
              <w:rPr>
                <w:rFonts w:hint="eastAsia" w:ascii="宋体" w:hAnsi="宋体" w:cs="宋体"/>
                <w:color w:val="000000"/>
                <w:kern w:val="0"/>
                <w:szCs w:val="21"/>
                <w:highlight w:val="none"/>
              </w:rPr>
              <w:t>提供完备的服务保障方案，其中项目执行经理具有类似汽车行业项目服务经验且熟悉平台运营规则，能够全面掌控整体项目运营得3分，无类似经验得0分。</w:t>
            </w:r>
          </w:p>
        </w:tc>
        <w:tc>
          <w:tcPr>
            <w:tcW w:w="1034"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15</w:t>
            </w:r>
          </w:p>
        </w:tc>
      </w:tr>
      <w:tr>
        <w:tblPrEx>
          <w:tblCellMar>
            <w:top w:w="0" w:type="dxa"/>
            <w:left w:w="108" w:type="dxa"/>
            <w:bottom w:w="0" w:type="dxa"/>
            <w:right w:w="108" w:type="dxa"/>
          </w:tblCellMar>
        </w:tblPrEx>
        <w:trPr>
          <w:trHeight w:val="2008" w:hRule="atLeast"/>
        </w:trPr>
        <w:tc>
          <w:tcPr>
            <w:tcW w:w="1418"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Cs w:val="21"/>
                <w:highlight w:val="none"/>
              </w:rPr>
            </w:pPr>
          </w:p>
        </w:tc>
        <w:tc>
          <w:tcPr>
            <w:tcW w:w="6548"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Cs w:val="21"/>
                <w:highlight w:val="none"/>
              </w:rPr>
            </w:pPr>
            <w:r>
              <w:rPr>
                <w:rFonts w:hint="eastAsia" w:ascii="宋体" w:hAnsi="宋体" w:cs="宋体"/>
                <w:b/>
                <w:bCs/>
                <w:color w:val="000000"/>
                <w:kern w:val="0"/>
                <w:szCs w:val="21"/>
                <w:highlight w:val="none"/>
              </w:rPr>
              <w:t>2.团队分工：</w:t>
            </w:r>
            <w:r>
              <w:rPr>
                <w:rFonts w:hint="eastAsia" w:ascii="宋体" w:hAnsi="宋体" w:cs="宋体"/>
                <w:color w:val="000000"/>
                <w:kern w:val="0"/>
                <w:szCs w:val="21"/>
                <w:highlight w:val="none"/>
              </w:rPr>
              <w:t>提供完备的服务保障方案，责任分工明确且合理，其中团队提供服务人员满足业务开展要求（标明专职或非专职），团队人员具备相应的专业经验，能够响应项目需求得12分；团队人员分工不合理或分工不明确，无法响应项目需求每有一项扣3分。至少可提供24次培训，不能提供每一项扣2分。本项最高得12分。</w:t>
            </w:r>
          </w:p>
        </w:tc>
        <w:tc>
          <w:tcPr>
            <w:tcW w:w="1034"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Cs w:val="21"/>
                <w:highlight w:val="none"/>
              </w:rPr>
            </w:pPr>
          </w:p>
        </w:tc>
      </w:tr>
    </w:tbl>
    <w:p>
      <w:pPr>
        <w:pStyle w:val="6"/>
        <w:ind w:firstLine="420" w:firstLineChars="200"/>
        <w:rPr>
          <w:rFonts w:hint="eastAsia" w:hAnsi="宋体" w:cs="宋体"/>
          <w:szCs w:val="21"/>
        </w:rPr>
      </w:pPr>
    </w:p>
    <w:p>
      <w:pPr>
        <w:pStyle w:val="6"/>
        <w:numPr>
          <w:ilvl w:val="0"/>
          <w:numId w:val="11"/>
        </w:numPr>
        <w:spacing w:line="360" w:lineRule="auto"/>
        <w:ind w:hanging="5"/>
      </w:pPr>
      <w:r>
        <w:rPr>
          <w:rFonts w:hint="eastAsia"/>
          <w:lang w:val="en-US" w:eastAsia="zh-CN"/>
        </w:rPr>
        <w:t>最终</w:t>
      </w:r>
      <w:r>
        <w:rPr>
          <w:rFonts w:hint="eastAsia"/>
        </w:rPr>
        <w:t>评分标准</w:t>
      </w:r>
    </w:p>
    <w:p>
      <w:pPr>
        <w:pStyle w:val="6"/>
        <w:spacing w:line="360" w:lineRule="auto"/>
        <w:ind w:firstLine="585"/>
        <w:rPr>
          <w:rFonts w:hint="eastAsia" w:ascii="黑体" w:eastAsia="宋体"/>
          <w:b/>
          <w:bCs/>
          <w:sz w:val="28"/>
          <w:highlight w:val="none"/>
          <w:lang w:eastAsia="zh-CN"/>
        </w:rPr>
      </w:pPr>
      <w:r>
        <w:rPr>
          <w:rFonts w:hint="eastAsia"/>
          <w:highlight w:val="none"/>
        </w:rPr>
        <w:t>按照约定时间，商务标专家组进行商务评标，商务标专家组和技术入围投标人展开多轮商务谈判，期间可对商务谈判内容进行澄清，</w:t>
      </w:r>
      <w:r>
        <w:rPr>
          <w:rFonts w:hint="eastAsia"/>
          <w:highlight w:val="none"/>
          <w:lang w:val="en-US" w:eastAsia="zh-CN"/>
        </w:rPr>
        <w:t>根据技术标得分与商务报价综合评定，确定中标人</w:t>
      </w:r>
      <w:r>
        <w:rPr>
          <w:rFonts w:hint="eastAsia"/>
          <w:highlight w:val="none"/>
        </w:rPr>
        <w:t>。</w:t>
      </w:r>
    </w:p>
    <w:p>
      <w:pPr>
        <w:pStyle w:val="6"/>
        <w:spacing w:line="360" w:lineRule="auto"/>
        <w:rPr>
          <w:rFonts w:ascii="黑体" w:eastAsia="黑体"/>
          <w:b/>
          <w:bCs/>
          <w:sz w:val="28"/>
        </w:rPr>
      </w:pPr>
      <w:r>
        <w:rPr>
          <w:rFonts w:hint="eastAsia" w:ascii="黑体" w:eastAsia="黑体"/>
          <w:b/>
          <w:bCs/>
          <w:sz w:val="28"/>
        </w:rPr>
        <w:t>三、中标与合同签订</w:t>
      </w:r>
    </w:p>
    <w:p>
      <w:pPr>
        <w:pStyle w:val="6"/>
        <w:numPr>
          <w:ilvl w:val="0"/>
          <w:numId w:val="13"/>
        </w:numPr>
        <w:spacing w:line="360" w:lineRule="auto"/>
        <w:ind w:left="0" w:firstLine="420"/>
        <w:rPr>
          <w:highlight w:val="none"/>
        </w:rPr>
      </w:pPr>
      <w:r>
        <w:rPr>
          <w:rFonts w:hint="eastAsia"/>
          <w:highlight w:val="none"/>
        </w:rPr>
        <w:t>招标人根据竞争性谈判结果确定中标人，并通知中标人，原则上按照</w:t>
      </w:r>
      <w:r>
        <w:rPr>
          <w:rFonts w:hint="eastAsia"/>
          <w:highlight w:val="none"/>
          <w:lang w:val="en-US" w:eastAsia="zh-CN"/>
        </w:rPr>
        <w:t>技术标商务标综合</w:t>
      </w:r>
      <w:r>
        <w:rPr>
          <w:rFonts w:hint="eastAsia"/>
          <w:highlight w:val="none"/>
        </w:rPr>
        <w:t>评标确定推荐中标人（不保证最低价格中标），对未中标单位不做任何解释。</w:t>
      </w:r>
    </w:p>
    <w:p>
      <w:pPr>
        <w:pStyle w:val="6"/>
        <w:numPr>
          <w:ilvl w:val="0"/>
          <w:numId w:val="13"/>
        </w:numPr>
        <w:spacing w:line="360" w:lineRule="auto"/>
        <w:ind w:left="0" w:firstLine="420"/>
      </w:pPr>
      <w:r>
        <w:rPr>
          <w:rFonts w:hint="eastAsia"/>
        </w:rPr>
        <w:t>招标人根据评标工作小组的评标结果按相关法律法规的规定及公司相关制度要求，确定中标人。中标人承诺无条件服从招标人针对该项目的后续所有安排。</w:t>
      </w:r>
    </w:p>
    <w:p>
      <w:pPr>
        <w:pStyle w:val="6"/>
        <w:numPr>
          <w:ilvl w:val="0"/>
          <w:numId w:val="13"/>
        </w:numPr>
        <w:spacing w:line="360" w:lineRule="auto"/>
        <w:ind w:left="0" w:firstLine="420"/>
      </w:pPr>
      <w:r>
        <w:rPr>
          <w:rFonts w:hint="eastAsia"/>
        </w:rPr>
        <w:t>根据招标人业务需要，具体项目签署与招标人指定单位签署。</w:t>
      </w:r>
    </w:p>
    <w:p>
      <w:pPr>
        <w:pStyle w:val="6"/>
        <w:numPr>
          <w:ilvl w:val="0"/>
          <w:numId w:val="13"/>
        </w:numPr>
        <w:spacing w:line="360" w:lineRule="auto"/>
        <w:ind w:left="0" w:firstLine="420"/>
        <w:rPr>
          <w:rFonts w:hint="eastAsia" w:hAnsi="宋体"/>
          <w:szCs w:val="21"/>
        </w:rPr>
      </w:pPr>
      <w:r>
        <w:rPr>
          <w:rFonts w:hint="eastAsia" w:hAnsi="宋体"/>
          <w:szCs w:val="21"/>
        </w:rPr>
        <w:t>招标人发送《中标通知书》给中标人，中标人应及时与招标人联系，在规定的时间内（一般为接到通知后3个工作日内）到招标单位对《中标人推荐表》进行签字确认并签订合同，如果中标人接到《中标通知书》后，无</w:t>
      </w:r>
      <w:r>
        <w:rPr>
          <w:rFonts w:hAnsi="宋体"/>
          <w:szCs w:val="21"/>
        </w:rPr>
        <w:t>不正当理由</w:t>
      </w:r>
      <w:r>
        <w:rPr>
          <w:rFonts w:hint="eastAsia" w:hAnsi="宋体"/>
          <w:szCs w:val="21"/>
        </w:rPr>
        <w:t>拒签</w:t>
      </w:r>
      <w:r>
        <w:rPr>
          <w:rFonts w:hAnsi="宋体"/>
          <w:szCs w:val="21"/>
        </w:rPr>
        <w:t>合同</w:t>
      </w:r>
      <w:r>
        <w:rPr>
          <w:rFonts w:hint="eastAsia" w:hAnsi="宋体"/>
          <w:szCs w:val="21"/>
        </w:rPr>
        <w:t>、</w:t>
      </w:r>
      <w:r>
        <w:rPr>
          <w:rFonts w:hAnsi="宋体"/>
          <w:szCs w:val="21"/>
        </w:rPr>
        <w:t>在签订合同时向招标人提出</w:t>
      </w:r>
      <w:r>
        <w:rPr>
          <w:rFonts w:hint="eastAsia" w:hAnsi="宋体"/>
          <w:szCs w:val="21"/>
        </w:rPr>
        <w:t>无理</w:t>
      </w:r>
      <w:r>
        <w:rPr>
          <w:rFonts w:hAnsi="宋体"/>
          <w:szCs w:val="21"/>
        </w:rPr>
        <w:t>附加条件</w:t>
      </w:r>
      <w:r>
        <w:rPr>
          <w:rFonts w:hint="eastAsia" w:hAnsi="宋体"/>
          <w:szCs w:val="21"/>
        </w:rPr>
        <w:t>的，取消该投标人的中标资格</w:t>
      </w:r>
      <w:r>
        <w:rPr>
          <w:rFonts w:hAnsi="宋体"/>
          <w:szCs w:val="21"/>
        </w:rPr>
        <w:t>，</w:t>
      </w:r>
      <w:r>
        <w:rPr>
          <w:rFonts w:hint="eastAsia" w:hAnsi="宋体"/>
          <w:szCs w:val="21"/>
        </w:rPr>
        <w:t>该企业</w:t>
      </w:r>
      <w:r>
        <w:rPr>
          <w:rFonts w:hint="eastAsia" w:hAnsi="宋体" w:cs="宋体"/>
          <w:u w:color="000000"/>
          <w:lang w:val="zh-TW"/>
        </w:rPr>
        <w:t>将进入中国重汽集团《违约单位名录》</w:t>
      </w:r>
      <w:r>
        <w:rPr>
          <w:rFonts w:hint="eastAsia" w:hAnsi="宋体" w:cs="宋体"/>
          <w:u w:color="000000"/>
        </w:rPr>
        <w:t>,</w:t>
      </w:r>
      <w:r>
        <w:rPr>
          <w:rFonts w:hint="eastAsia" w:hAnsi="宋体" w:cs="宋体"/>
          <w:u w:color="000000"/>
          <w:lang w:val="zh-TW"/>
        </w:rPr>
        <w:t>禁止其参加中国重汽集团系统内所有单位招标</w:t>
      </w:r>
      <w:r>
        <w:rPr>
          <w:rFonts w:hint="eastAsia" w:hAnsi="宋体"/>
        </w:rPr>
        <w:t>。</w:t>
      </w:r>
      <w:r>
        <w:rPr>
          <w:rFonts w:hint="eastAsia" w:hAnsi="宋体"/>
          <w:szCs w:val="21"/>
        </w:rPr>
        <w:t>。</w:t>
      </w:r>
    </w:p>
    <w:p>
      <w:pPr>
        <w:pStyle w:val="6"/>
        <w:numPr>
          <w:ilvl w:val="0"/>
          <w:numId w:val="13"/>
        </w:numPr>
        <w:spacing w:line="360" w:lineRule="auto"/>
        <w:ind w:left="0" w:firstLine="420"/>
        <w:rPr>
          <w:rFonts w:hint="eastAsia" w:hAnsi="宋体"/>
          <w:szCs w:val="21"/>
        </w:rPr>
      </w:pPr>
      <w:r>
        <w:rPr>
          <w:rFonts w:hint="eastAsia" w:hAnsi="宋体"/>
          <w:szCs w:val="21"/>
        </w:rPr>
        <w:t>中标人应在保证质量的前提下完成中标项目，不得将中标项目转包或分包给他人，否则视为违约，招标人或相关单位有权解除合同。</w:t>
      </w:r>
    </w:p>
    <w:p>
      <w:pPr>
        <w:pStyle w:val="6"/>
        <w:numPr>
          <w:ilvl w:val="0"/>
          <w:numId w:val="13"/>
        </w:numPr>
        <w:spacing w:line="360" w:lineRule="auto"/>
        <w:ind w:left="0" w:firstLine="420"/>
        <w:rPr>
          <w:rFonts w:hint="eastAsia" w:hAnsi="宋体"/>
          <w:szCs w:val="21"/>
        </w:rPr>
      </w:pPr>
      <w:r>
        <w:rPr>
          <w:rFonts w:hint="eastAsia" w:hAnsi="宋体"/>
          <w:szCs w:val="21"/>
        </w:rPr>
        <w:t>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pPr>
        <w:pStyle w:val="6"/>
        <w:spacing w:line="360" w:lineRule="auto"/>
        <w:rPr>
          <w:rFonts w:hint="eastAsia" w:ascii="黑体" w:hAnsi="黑体" w:eastAsia="黑体"/>
          <w:b/>
          <w:bCs/>
          <w:sz w:val="28"/>
          <w:szCs w:val="28"/>
        </w:rPr>
      </w:pPr>
      <w:r>
        <w:rPr>
          <w:rFonts w:hint="eastAsia" w:ascii="黑体" w:hAnsi="黑体" w:eastAsia="黑体"/>
          <w:b/>
          <w:bCs/>
          <w:sz w:val="28"/>
          <w:szCs w:val="28"/>
        </w:rPr>
        <w:t>四、验收</w:t>
      </w:r>
    </w:p>
    <w:p>
      <w:pPr>
        <w:spacing w:line="360" w:lineRule="auto"/>
        <w:ind w:firstLine="420" w:firstLineChars="200"/>
      </w:pPr>
      <w:r>
        <w:rPr>
          <w:rFonts w:hint="eastAsia"/>
        </w:rPr>
        <w:t>中标人不得以任何非正当理由拒绝该项目执行，招标人有权根据项目执行情况</w:t>
      </w:r>
      <w:r>
        <w:rPr>
          <w:rFonts w:hint="eastAsia" w:ascii="宋体" w:hAnsi="Courier New"/>
          <w:szCs w:val="22"/>
        </w:rPr>
        <w:t>、服务及时性及态度对中标人每月度、年度进行评分，评分标准细则详见合同，月度低于80分甲方有权采取包括但不限于罚款及单方面终止合同等措施进行处罚。合同期内，乙方必须服从管理，如严重违规，给甲方造成重大损失的，甲方有权单方面无条件终止协议,</w:t>
      </w:r>
      <w:r>
        <w:rPr>
          <w:rFonts w:hint="eastAsia" w:hAnsi="宋体"/>
          <w:szCs w:val="21"/>
        </w:rPr>
        <w:t>合同约定以最终签署版本为准。</w:t>
      </w:r>
    </w:p>
    <w:p>
      <w:pPr>
        <w:pStyle w:val="6"/>
        <w:spacing w:line="360" w:lineRule="auto"/>
      </w:pPr>
    </w:p>
    <w:p>
      <w:pPr>
        <w:spacing w:line="360" w:lineRule="auto"/>
        <w:jc w:val="center"/>
        <w:rPr>
          <w:rFonts w:eastAsia="黑体"/>
          <w:b/>
          <w:bCs/>
          <w:sz w:val="36"/>
          <w:szCs w:val="36"/>
        </w:rPr>
      </w:pPr>
      <w:r>
        <w:rPr>
          <w:rFonts w:hint="eastAsia" w:eastAsia="黑体"/>
          <w:b/>
          <w:bCs/>
          <w:sz w:val="36"/>
          <w:szCs w:val="36"/>
        </w:rPr>
        <w:t>第三章  投标文件编制</w:t>
      </w:r>
    </w:p>
    <w:p>
      <w:pPr>
        <w:pStyle w:val="6"/>
        <w:spacing w:line="360" w:lineRule="auto"/>
        <w:rPr>
          <w:rFonts w:hint="eastAsia" w:ascii="黑体" w:hAnsi="黑体" w:eastAsia="黑体"/>
          <w:b/>
          <w:bCs/>
          <w:sz w:val="28"/>
          <w:szCs w:val="28"/>
        </w:rPr>
      </w:pPr>
      <w:r>
        <w:rPr>
          <w:rFonts w:hint="eastAsia" w:ascii="黑体" w:hAnsi="黑体" w:eastAsia="黑体"/>
          <w:b/>
          <w:bCs/>
          <w:sz w:val="28"/>
          <w:szCs w:val="28"/>
        </w:rPr>
        <w:t>一、投标文件签署</w:t>
      </w:r>
    </w:p>
    <w:p>
      <w:pPr>
        <w:pStyle w:val="6"/>
        <w:spacing w:line="360" w:lineRule="auto"/>
        <w:ind w:firstLine="420" w:firstLineChars="200"/>
        <w:rPr>
          <w:rFonts w:hint="eastAsia" w:hAnsi="宋体"/>
        </w:rPr>
      </w:pPr>
      <w:r>
        <w:rPr>
          <w:rFonts w:hint="eastAsia" w:hAnsi="宋体"/>
        </w:rPr>
        <w:t>法定代表人或投标人授权代表必须按招标文件的规定在投标文件（正本、副本及各附件）、报价单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pPr>
        <w:pStyle w:val="6"/>
        <w:spacing w:line="360" w:lineRule="auto"/>
        <w:rPr>
          <w:rFonts w:hint="eastAsia" w:ascii="黑体" w:hAnsi="黑体" w:eastAsia="黑体"/>
          <w:b/>
          <w:bCs/>
          <w:sz w:val="28"/>
          <w:szCs w:val="28"/>
        </w:rPr>
      </w:pPr>
      <w:r>
        <w:rPr>
          <w:rFonts w:hint="eastAsia" w:ascii="黑体" w:hAnsi="黑体" w:eastAsia="黑体"/>
          <w:b/>
          <w:bCs/>
          <w:sz w:val="28"/>
          <w:szCs w:val="28"/>
        </w:rPr>
        <w:t>二、投标文件的密封和标记</w:t>
      </w:r>
    </w:p>
    <w:p>
      <w:pPr>
        <w:pStyle w:val="6"/>
        <w:numPr>
          <w:ilvl w:val="0"/>
          <w:numId w:val="14"/>
        </w:numPr>
        <w:spacing w:line="360" w:lineRule="auto"/>
        <w:ind w:left="0" w:firstLine="420"/>
        <w:rPr>
          <w:rFonts w:hint="eastAsia" w:hAnsi="宋体" w:cs="宋体"/>
          <w:szCs w:val="21"/>
        </w:rPr>
      </w:pPr>
      <w:r>
        <w:rPr>
          <w:rFonts w:hint="eastAsia" w:hAnsi="宋体" w:cs="宋体"/>
          <w:szCs w:val="21"/>
        </w:rPr>
        <w:t>投标人应将投标文件正本一份、副本五份及U盘电子版一份分别单独密封送达，并在封面明显处注明以下内容：</w:t>
      </w:r>
    </w:p>
    <w:p>
      <w:pPr>
        <w:pStyle w:val="6"/>
        <w:numPr>
          <w:ilvl w:val="0"/>
          <w:numId w:val="15"/>
        </w:numPr>
        <w:spacing w:line="360" w:lineRule="auto"/>
        <w:ind w:firstLine="420" w:firstLineChars="200"/>
        <w:rPr>
          <w:rFonts w:hint="eastAsia" w:hAnsi="宋体" w:cs="宋体"/>
          <w:szCs w:val="21"/>
        </w:rPr>
      </w:pPr>
      <w:r>
        <w:rPr>
          <w:rFonts w:hint="eastAsia" w:hAnsi="宋体" w:cs="宋体"/>
          <w:szCs w:val="21"/>
        </w:rPr>
        <w:t>项目名称：</w:t>
      </w:r>
      <w:r>
        <w:rPr>
          <w:rFonts w:hint="eastAsia"/>
        </w:rPr>
        <w:t>中国重汽集团济南专用车有限公司新媒体平台直播和短视频运营项目；</w:t>
      </w:r>
    </w:p>
    <w:p>
      <w:pPr>
        <w:pStyle w:val="6"/>
        <w:numPr>
          <w:ilvl w:val="0"/>
          <w:numId w:val="15"/>
        </w:numPr>
        <w:spacing w:line="360" w:lineRule="auto"/>
        <w:ind w:firstLine="420" w:firstLineChars="200"/>
        <w:rPr>
          <w:rFonts w:hint="eastAsia" w:hAnsi="宋体" w:cs="宋体"/>
          <w:szCs w:val="21"/>
        </w:rPr>
      </w:pPr>
      <w:r>
        <w:rPr>
          <w:rFonts w:hint="eastAsia" w:hAnsi="宋体" w:cs="宋体"/>
          <w:szCs w:val="21"/>
        </w:rPr>
        <w:t>投标人名称（加盖公章）、地址、邮编、电话，每一密封文件在封口处黏贴封条并加盖投标人公章；</w:t>
      </w:r>
    </w:p>
    <w:p>
      <w:pPr>
        <w:pStyle w:val="6"/>
        <w:numPr>
          <w:ilvl w:val="0"/>
          <w:numId w:val="15"/>
        </w:numPr>
        <w:spacing w:line="360" w:lineRule="auto"/>
        <w:ind w:firstLine="420" w:firstLineChars="200"/>
        <w:rPr>
          <w:rFonts w:hint="eastAsia" w:hAnsi="宋体" w:cs="宋体"/>
          <w:szCs w:val="21"/>
        </w:rPr>
      </w:pPr>
      <w:r>
        <w:rPr>
          <w:rFonts w:hint="eastAsia" w:hAnsi="宋体" w:cs="宋体"/>
          <w:szCs w:val="21"/>
        </w:rPr>
        <w:t>如果投标人未按上述要求对投标文件密封及加写标记，招标人对投标人提前启封概不负责。对由此造成提前开封的投标文件，招标人有权予以拒绝，并退回投标人取消其投标资格。招标结束后，无论投标人中标是否，投标人递交的投标资料一律不予退回。</w:t>
      </w:r>
    </w:p>
    <w:p>
      <w:pPr>
        <w:pStyle w:val="6"/>
        <w:numPr>
          <w:ilvl w:val="0"/>
          <w:numId w:val="14"/>
        </w:numPr>
        <w:spacing w:line="360" w:lineRule="auto"/>
        <w:ind w:left="0" w:firstLine="420"/>
        <w:rPr>
          <w:rFonts w:hint="eastAsia" w:hAnsi="宋体" w:cs="宋体"/>
          <w:szCs w:val="21"/>
        </w:rPr>
      </w:pPr>
      <w:r>
        <w:rPr>
          <w:rFonts w:hint="eastAsia" w:hAnsi="宋体" w:cs="宋体"/>
          <w:szCs w:val="21"/>
        </w:rPr>
        <w:t>投标文件由投标人在开标日自行带到开标现场，在开标时当场交与招标负责人。如根据实际情况，招标形式为线上，需根据招标负责人的通知进行邮寄。</w:t>
      </w:r>
    </w:p>
    <w:p>
      <w:pPr>
        <w:pStyle w:val="6"/>
        <w:numPr>
          <w:ilvl w:val="0"/>
          <w:numId w:val="16"/>
        </w:numPr>
        <w:spacing w:line="360" w:lineRule="auto"/>
        <w:rPr>
          <w:rFonts w:hint="eastAsia" w:ascii="黑体" w:hAnsi="黑体" w:eastAsia="黑体"/>
          <w:b/>
          <w:bCs/>
          <w:sz w:val="28"/>
        </w:rPr>
      </w:pPr>
      <w:r>
        <w:rPr>
          <w:rFonts w:hint="eastAsia" w:ascii="黑体" w:hAnsi="黑体" w:eastAsia="黑体"/>
          <w:b/>
          <w:bCs/>
          <w:sz w:val="28"/>
        </w:rPr>
        <w:t>开标时需提交的材料：</w:t>
      </w:r>
    </w:p>
    <w:p>
      <w:pPr>
        <w:pStyle w:val="22"/>
        <w:keepNext w:val="0"/>
        <w:widowControl/>
        <w:numPr>
          <w:ilvl w:val="0"/>
          <w:numId w:val="17"/>
        </w:numPr>
        <w:rPr>
          <w:rFonts w:hint="eastAsia" w:ascii="宋体" w:hAnsi="宋体" w:cs="宋体"/>
          <w:sz w:val="21"/>
          <w:szCs w:val="21"/>
        </w:rPr>
      </w:pPr>
      <w:r>
        <w:rPr>
          <w:rFonts w:hint="eastAsia" w:ascii="宋体" w:hAnsi="宋体" w:cs="宋体"/>
          <w:sz w:val="21"/>
          <w:szCs w:val="21"/>
        </w:rPr>
        <w:t>投标文件计量单位</w:t>
      </w:r>
    </w:p>
    <w:p>
      <w:pPr>
        <w:pStyle w:val="21"/>
        <w:widowControl/>
        <w:ind w:firstLine="0" w:firstLineChars="0"/>
        <w:rPr>
          <w:rFonts w:hint="eastAsia" w:ascii="宋体" w:hAnsi="宋体" w:cs="宋体"/>
          <w:sz w:val="21"/>
          <w:szCs w:val="21"/>
        </w:rPr>
      </w:pPr>
      <w:r>
        <w:rPr>
          <w:rFonts w:hint="eastAsia" w:ascii="宋体" w:hAnsi="宋体" w:cs="宋体"/>
          <w:sz w:val="21"/>
          <w:szCs w:val="21"/>
        </w:rPr>
        <w:t>投标文件中所使用的计量单位，除招标文件中有特殊要求外，应采用国家法定计量单位。</w:t>
      </w:r>
    </w:p>
    <w:p>
      <w:pPr>
        <w:pStyle w:val="22"/>
        <w:keepNext w:val="0"/>
        <w:widowControl/>
        <w:numPr>
          <w:ilvl w:val="0"/>
          <w:numId w:val="17"/>
        </w:numPr>
        <w:rPr>
          <w:rFonts w:hint="eastAsia" w:ascii="宋体" w:hAnsi="宋体" w:cs="宋体"/>
          <w:b w:val="0"/>
          <w:bCs w:val="0"/>
          <w:sz w:val="21"/>
          <w:szCs w:val="21"/>
        </w:rPr>
      </w:pPr>
      <w:bookmarkStart w:id="8" w:name="_Toc50742898"/>
      <w:r>
        <w:rPr>
          <w:rFonts w:hint="eastAsia" w:ascii="宋体" w:hAnsi="宋体" w:cs="宋体"/>
          <w:b w:val="0"/>
          <w:bCs w:val="0"/>
          <w:sz w:val="21"/>
          <w:szCs w:val="21"/>
        </w:rPr>
        <w:t>投标文件</w:t>
      </w:r>
      <w:bookmarkEnd w:id="8"/>
      <w:r>
        <w:rPr>
          <w:rFonts w:hint="eastAsia" w:ascii="宋体" w:hAnsi="宋体" w:cs="宋体"/>
          <w:b w:val="0"/>
          <w:bCs w:val="0"/>
          <w:sz w:val="21"/>
          <w:szCs w:val="21"/>
        </w:rPr>
        <w:t>需提交</w:t>
      </w:r>
      <w:r>
        <w:rPr>
          <w:rFonts w:hint="eastAsia" w:ascii="宋体" w:hAnsi="宋体" w:cs="宋体"/>
          <w:sz w:val="21"/>
          <w:szCs w:val="21"/>
        </w:rPr>
        <w:t>纸质版文件</w:t>
      </w:r>
      <w:r>
        <w:rPr>
          <w:rFonts w:hint="eastAsia" w:ascii="宋体" w:hAnsi="宋体" w:cs="宋体"/>
          <w:b w:val="0"/>
          <w:bCs w:val="0"/>
          <w:sz w:val="21"/>
          <w:szCs w:val="21"/>
        </w:rPr>
        <w:t>和</w:t>
      </w:r>
      <w:r>
        <w:rPr>
          <w:rFonts w:hint="eastAsia" w:ascii="宋体" w:hAnsi="宋体" w:cs="宋体"/>
          <w:sz w:val="21"/>
          <w:szCs w:val="21"/>
        </w:rPr>
        <w:t>电子版文件</w:t>
      </w:r>
      <w:r>
        <w:rPr>
          <w:rFonts w:hint="eastAsia" w:ascii="宋体" w:hAnsi="宋体" w:cs="宋体"/>
          <w:b w:val="0"/>
          <w:bCs w:val="0"/>
          <w:sz w:val="21"/>
          <w:szCs w:val="21"/>
        </w:rPr>
        <w:t>两种，均需包含</w:t>
      </w:r>
      <w:r>
        <w:rPr>
          <w:rFonts w:hint="eastAsia" w:ascii="宋体" w:hAnsi="宋体" w:cs="宋体"/>
          <w:sz w:val="21"/>
          <w:szCs w:val="21"/>
        </w:rPr>
        <w:t>资质文件、技术标文件、商务标文件三部分</w:t>
      </w:r>
      <w:r>
        <w:rPr>
          <w:rFonts w:hint="eastAsia" w:ascii="宋体" w:hAnsi="宋体" w:cs="宋体"/>
          <w:b w:val="0"/>
          <w:bCs w:val="0"/>
          <w:sz w:val="21"/>
          <w:szCs w:val="21"/>
        </w:rPr>
        <w:t>提交，纸质版以实物形式提交，电子版以存入U盘形式提交。</w:t>
      </w:r>
    </w:p>
    <w:p>
      <w:pPr>
        <w:pStyle w:val="21"/>
        <w:widowControl/>
        <w:numPr>
          <w:ilvl w:val="0"/>
          <w:numId w:val="17"/>
        </w:numPr>
        <w:ind w:firstLineChars="0"/>
        <w:rPr>
          <w:rFonts w:hint="eastAsia" w:ascii="宋体" w:hAnsi="宋体" w:cs="宋体"/>
          <w:b/>
          <w:bCs/>
          <w:sz w:val="21"/>
          <w:szCs w:val="21"/>
        </w:rPr>
      </w:pPr>
      <w:r>
        <w:rPr>
          <w:rFonts w:hint="eastAsia" w:ascii="宋体" w:hAnsi="宋体" w:cs="宋体"/>
          <w:b/>
          <w:bCs/>
          <w:sz w:val="21"/>
          <w:szCs w:val="21"/>
        </w:rPr>
        <w:t>纸质版文件</w:t>
      </w:r>
    </w:p>
    <w:p>
      <w:pPr>
        <w:pStyle w:val="21"/>
        <w:widowControl/>
        <w:numPr>
          <w:ilvl w:val="0"/>
          <w:numId w:val="18"/>
        </w:numPr>
        <w:ind w:firstLineChars="0"/>
        <w:rPr>
          <w:rFonts w:hint="eastAsia" w:ascii="宋体" w:hAnsi="宋体" w:cs="宋体"/>
          <w:b/>
          <w:bCs/>
          <w:sz w:val="21"/>
          <w:szCs w:val="21"/>
        </w:rPr>
      </w:pPr>
      <w:r>
        <w:rPr>
          <w:rFonts w:hint="eastAsia" w:ascii="宋体" w:hAnsi="宋体" w:cs="宋体"/>
          <w:b/>
          <w:bCs/>
          <w:sz w:val="21"/>
          <w:szCs w:val="21"/>
        </w:rPr>
        <w:t>资质文件（独立封装在一个档案袋，一式五份）</w:t>
      </w:r>
    </w:p>
    <w:p>
      <w:pPr>
        <w:pStyle w:val="19"/>
        <w:numPr>
          <w:ilvl w:val="0"/>
          <w:numId w:val="19"/>
        </w:numPr>
        <w:spacing w:line="360" w:lineRule="auto"/>
        <w:rPr>
          <w:rFonts w:hint="eastAsia" w:ascii="宋体" w:hAnsi="宋体" w:cs="宋体"/>
          <w:szCs w:val="21"/>
        </w:rPr>
      </w:pPr>
      <w:r>
        <w:rPr>
          <w:rFonts w:hint="eastAsia" w:ascii="宋体" w:hAnsi="宋体" w:cs="宋体"/>
          <w:szCs w:val="21"/>
        </w:rPr>
        <w:t>投标公司单位简介（包含但不仅限于公司名称、成立时间、注册资本、公司在册员工人数（缴纳社保人员）、地址、主营业务介绍等）；</w:t>
      </w:r>
    </w:p>
    <w:p>
      <w:pPr>
        <w:pStyle w:val="19"/>
        <w:numPr>
          <w:ilvl w:val="0"/>
          <w:numId w:val="19"/>
        </w:numPr>
        <w:spacing w:line="360" w:lineRule="auto"/>
        <w:rPr>
          <w:rFonts w:hint="eastAsia" w:ascii="宋体" w:hAnsi="宋体" w:cs="宋体"/>
          <w:szCs w:val="21"/>
        </w:rPr>
      </w:pPr>
      <w:r>
        <w:rPr>
          <w:rFonts w:hint="eastAsia" w:ascii="宋体" w:hAnsi="宋体" w:cs="宋体"/>
          <w:szCs w:val="21"/>
        </w:rPr>
        <w:t>提供企业缴纳社保证明复印件（加盖公章），原件备查；</w:t>
      </w:r>
    </w:p>
    <w:p>
      <w:pPr>
        <w:pStyle w:val="19"/>
        <w:spacing w:line="360" w:lineRule="auto"/>
        <w:rPr>
          <w:rFonts w:hint="eastAsia" w:ascii="宋体" w:hAnsi="宋体" w:cs="宋体"/>
          <w:szCs w:val="21"/>
        </w:rPr>
      </w:pPr>
      <w:r>
        <w:rPr>
          <w:rFonts w:hint="eastAsia" w:ascii="宋体" w:hAnsi="宋体" w:cs="宋体"/>
          <w:szCs w:val="21"/>
        </w:rPr>
        <w:t>（3）投标函（格式见附件1）；</w:t>
      </w:r>
    </w:p>
    <w:p>
      <w:pPr>
        <w:pStyle w:val="19"/>
        <w:spacing w:line="360" w:lineRule="auto"/>
        <w:rPr>
          <w:rFonts w:hint="eastAsia" w:ascii="宋体" w:hAnsi="宋体" w:cs="宋体"/>
          <w:szCs w:val="21"/>
        </w:rPr>
      </w:pPr>
      <w:r>
        <w:rPr>
          <w:rFonts w:hint="eastAsia" w:ascii="宋体" w:hAnsi="宋体" w:cs="宋体"/>
          <w:szCs w:val="21"/>
        </w:rPr>
        <w:t>（4）投标人基本情况表，附带投标人三证合一的营业执照副本复印件（加盖公章），原件备查；</w:t>
      </w:r>
    </w:p>
    <w:p>
      <w:pPr>
        <w:pStyle w:val="19"/>
        <w:spacing w:line="360" w:lineRule="auto"/>
        <w:rPr>
          <w:rFonts w:hint="eastAsia" w:ascii="宋体" w:hAnsi="宋体" w:cs="宋体"/>
          <w:szCs w:val="21"/>
        </w:rPr>
      </w:pPr>
      <w:r>
        <w:rPr>
          <w:rFonts w:hint="eastAsia" w:ascii="宋体" w:hAnsi="宋体" w:cs="宋体"/>
          <w:szCs w:val="21"/>
        </w:rPr>
        <w:t>（5）若是法定代表人参加，需有法定代表人身份证复印件（加盖公章），原件备查。若不是法定代表人参加，需有法定代表人授权委托书原件、法定代表人身份证及被委托人身份证复印件（均加盖公章），投标人或被委托人应提供授权委托书原件（格式见附件2）、身份证原件备查；</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（6）投标人提供经会计师事务所审计且出具无保留意见的近两年的财务审计报告复印件并加盖公章，包括但不限于报告页、经审计的资产负债表、利润表、现金流量表及报表附注，原件备查；</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如投标人公司没有经审计的财务报告，可提供投标人近两年的公司财务报表（包含但不仅限于资产负债表、损益表、现金流量表等）复印件并加盖公章，原件备查；应提供中文版本的审计报告或财务报表； </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（7）企业最近半年完税证明、信用证明材料（中国人民银行信用代码证+征信报告），</w:t>
      </w:r>
      <w:r>
        <w:rPr>
          <w:rFonts w:hint="eastAsia" w:ascii="宋体" w:hAnsi="宋体" w:cs="宋体"/>
          <w:szCs w:val="21"/>
        </w:rPr>
        <w:t>加盖公章，</w:t>
      </w:r>
      <w:r>
        <w:rPr>
          <w:rFonts w:hint="eastAsia" w:ascii="宋体" w:hAnsi="宋体" w:cs="宋体"/>
          <w:color w:val="000000"/>
          <w:szCs w:val="21"/>
        </w:rPr>
        <w:t>原件备查；</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（8）年度纳税信用评价信息（可从电子税务局查询截图，需加盖公章），原件备查；</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（9）企业对外担保说明（写明贵单位对外有无对外担保和质押业务，需加盖公章），原件备查； </w:t>
      </w:r>
    </w:p>
    <w:p>
      <w:pPr>
        <w:spacing w:line="360" w:lineRule="auto"/>
        <w:ind w:firstLine="420" w:firstLineChars="200"/>
        <w:rPr>
          <w:rFonts w:hint="eastAsia" w:ascii="宋体" w:hAnsi="宋体" w:cs="宋体"/>
          <w:szCs w:val="21"/>
        </w:rPr>
      </w:pPr>
      <w:r>
        <w:rPr>
          <w:rFonts w:hint="eastAsia" w:ascii="宋体" w:hAnsi="宋体" w:cs="宋体"/>
          <w:color w:val="000000"/>
          <w:szCs w:val="21"/>
        </w:rPr>
        <w:t>（10）证明投标人资格条件的其他资质（短视频和直播服务或类似广告服务资质证明）、等级证书、行业内相关荣誉（如有）；</w:t>
      </w:r>
    </w:p>
    <w:p>
      <w:pPr>
        <w:pStyle w:val="19"/>
        <w:spacing w:line="360" w:lineRule="auto"/>
        <w:rPr>
          <w:rFonts w:hint="eastAsia" w:ascii="宋体" w:hAnsi="宋体" w:cs="宋体"/>
          <w:szCs w:val="21"/>
        </w:rPr>
      </w:pPr>
      <w:r>
        <w:rPr>
          <w:rFonts w:hint="eastAsia" w:ascii="宋体" w:hAnsi="宋体" w:cs="宋体"/>
          <w:szCs w:val="21"/>
        </w:rPr>
        <w:t>（11）企业服务业绩：列举与此招标项目类似的服务业绩，包括项目实施时间、单位、应用范围、投标人参与的核心成员及合同复印件等，合同原件现场携带备查。</w:t>
      </w:r>
    </w:p>
    <w:p>
      <w:pPr>
        <w:pStyle w:val="21"/>
        <w:widowControl/>
        <w:numPr>
          <w:ilvl w:val="0"/>
          <w:numId w:val="20"/>
        </w:numPr>
        <w:ind w:firstLineChars="0"/>
        <w:rPr>
          <w:rFonts w:hint="eastAsia" w:ascii="宋体" w:hAnsi="宋体" w:cs="宋体"/>
          <w:b/>
          <w:bCs/>
          <w:sz w:val="21"/>
          <w:szCs w:val="21"/>
        </w:rPr>
      </w:pPr>
      <w:r>
        <w:rPr>
          <w:rFonts w:hint="eastAsia" w:ascii="宋体" w:hAnsi="宋体" w:cs="宋体"/>
          <w:b/>
          <w:bCs/>
          <w:sz w:val="21"/>
          <w:szCs w:val="21"/>
        </w:rPr>
        <w:t>技术标文件（独立封装在一个档案袋，其中正本一份，副本五份）：</w:t>
      </w:r>
    </w:p>
    <w:p>
      <w:pPr>
        <w:pStyle w:val="20"/>
        <w:widowControl/>
        <w:numPr>
          <w:ilvl w:val="0"/>
          <w:numId w:val="21"/>
        </w:numPr>
        <w:tabs>
          <w:tab w:val="left" w:pos="420"/>
        </w:tabs>
        <w:adjustRightInd w:val="0"/>
        <w:snapToGrid w:val="0"/>
        <w:ind w:left="0" w:firstLine="420"/>
        <w:rPr>
          <w:rFonts w:hint="eastAsia" w:ascii="宋体" w:hAnsi="宋体" w:cs="宋体"/>
          <w:sz w:val="21"/>
          <w:szCs w:val="21"/>
        </w:rPr>
      </w:pPr>
      <w:r>
        <w:rPr>
          <w:rFonts w:hint="eastAsia" w:ascii="宋体" w:hAnsi="宋体" w:cs="宋体"/>
          <w:sz w:val="21"/>
          <w:szCs w:val="21"/>
        </w:rPr>
        <w:t>项目方案：满足项目KPI前提下（《中国重汽集团济南专用车有限公司新媒体平台直播和短视频运营项目KPI》见附表），明确项目总体规划及具体实施方案等；</w:t>
      </w:r>
    </w:p>
    <w:p>
      <w:pPr>
        <w:pStyle w:val="20"/>
        <w:widowControl/>
        <w:numPr>
          <w:ilvl w:val="0"/>
          <w:numId w:val="21"/>
        </w:numPr>
        <w:tabs>
          <w:tab w:val="left" w:pos="420"/>
        </w:tabs>
        <w:adjustRightInd w:val="0"/>
        <w:snapToGrid w:val="0"/>
        <w:rPr>
          <w:rFonts w:hint="eastAsia" w:ascii="宋体" w:hAnsi="宋体" w:cs="宋体"/>
          <w:sz w:val="21"/>
          <w:szCs w:val="21"/>
        </w:rPr>
      </w:pPr>
      <w:r>
        <w:rPr>
          <w:rFonts w:hint="eastAsia" w:ascii="宋体" w:hAnsi="宋体" w:cs="宋体"/>
          <w:sz w:val="21"/>
          <w:szCs w:val="21"/>
        </w:rPr>
        <w:t>项目团队：列示拟参与项目的团队成员及工作简历、项目分工等；</w:t>
      </w:r>
    </w:p>
    <w:p>
      <w:pPr>
        <w:pStyle w:val="20"/>
        <w:widowControl/>
        <w:numPr>
          <w:ilvl w:val="0"/>
          <w:numId w:val="21"/>
        </w:numPr>
        <w:tabs>
          <w:tab w:val="left" w:pos="420"/>
        </w:tabs>
        <w:adjustRightInd w:val="0"/>
        <w:snapToGrid w:val="0"/>
        <w:jc w:val="left"/>
        <w:rPr>
          <w:rFonts w:hint="eastAsia" w:ascii="宋体" w:hAnsi="宋体" w:cs="宋体"/>
          <w:sz w:val="21"/>
          <w:szCs w:val="21"/>
        </w:rPr>
      </w:pPr>
      <w:r>
        <w:rPr>
          <w:rFonts w:hint="eastAsia" w:ascii="宋体" w:hAnsi="宋体" w:cs="宋体"/>
          <w:sz w:val="21"/>
          <w:szCs w:val="21"/>
        </w:rPr>
        <w:t>项目团队服务保障及其他综合说明。</w:t>
      </w:r>
    </w:p>
    <w:p>
      <w:pPr>
        <w:pStyle w:val="20"/>
        <w:widowControl/>
        <w:numPr>
          <w:ilvl w:val="0"/>
          <w:numId w:val="0"/>
        </w:numPr>
        <w:tabs>
          <w:tab w:val="left" w:pos="420"/>
        </w:tabs>
        <w:adjustRightInd w:val="0"/>
        <w:snapToGrid w:val="0"/>
        <w:ind w:left="420"/>
        <w:jc w:val="left"/>
        <w:rPr>
          <w:rFonts w:hint="eastAsia" w:ascii="宋体" w:hAnsi="宋体" w:cs="宋体"/>
          <w:sz w:val="21"/>
          <w:szCs w:val="21"/>
        </w:rPr>
      </w:pPr>
      <w:r>
        <w:rPr>
          <w:rFonts w:hint="eastAsia" w:ascii="宋体" w:hAnsi="宋体" w:cs="宋体"/>
          <w:sz w:val="21"/>
          <w:szCs w:val="21"/>
        </w:rPr>
        <w:t>以上技术标文件需提供纸质版，盖章视为有效。</w:t>
      </w:r>
    </w:p>
    <w:p>
      <w:pPr>
        <w:pStyle w:val="20"/>
        <w:widowControl/>
        <w:numPr>
          <w:ilvl w:val="0"/>
          <w:numId w:val="22"/>
        </w:numPr>
        <w:adjustRightInd w:val="0"/>
        <w:snapToGrid w:val="0"/>
        <w:rPr>
          <w:rFonts w:hint="eastAsia" w:ascii="宋体" w:hAnsi="宋体" w:cs="宋体"/>
          <w:b/>
          <w:bCs/>
          <w:color w:val="000000"/>
          <w:sz w:val="21"/>
          <w:szCs w:val="21"/>
        </w:rPr>
      </w:pPr>
      <w:r>
        <w:rPr>
          <w:rFonts w:hint="eastAsia" w:ascii="宋体" w:hAnsi="宋体" w:cs="宋体"/>
          <w:b/>
          <w:bCs/>
          <w:color w:val="000000"/>
          <w:sz w:val="21"/>
          <w:szCs w:val="21"/>
        </w:rPr>
        <w:t>商务标文件（独立封装在一个档案袋，其中正本一份，副本五份）：</w:t>
      </w:r>
    </w:p>
    <w:p>
      <w:pPr>
        <w:pStyle w:val="6"/>
        <w:numPr>
          <w:ilvl w:val="0"/>
          <w:numId w:val="23"/>
        </w:numPr>
        <w:spacing w:line="360" w:lineRule="auto"/>
        <w:ind w:left="0" w:firstLine="420"/>
      </w:pPr>
      <w:r>
        <w:rPr>
          <w:rFonts w:hint="eastAsia"/>
        </w:rPr>
        <w:t>填写并提交《中国重汽集团济南专用车有限公司新媒体平台直播和短视频运营项目报价表》（以下简称“《报价表》”，格式单独见附表），《报价表》文件格式均为Excel表格，且不允许修改项目，若不按此格式进行报价，则视为无效报价；</w:t>
      </w:r>
    </w:p>
    <w:p>
      <w:pPr>
        <w:pStyle w:val="6"/>
        <w:numPr>
          <w:ilvl w:val="0"/>
          <w:numId w:val="23"/>
        </w:numPr>
        <w:spacing w:line="360" w:lineRule="auto"/>
        <w:ind w:left="0" w:firstLine="420"/>
      </w:pPr>
      <w:r>
        <w:rPr>
          <w:rFonts w:hint="eastAsia"/>
        </w:rPr>
        <w:t>《报价表》中条目不允许改动、隐藏，若有则视为无效报价（允许补充填写的部分除外），其中备注栏可补充解释说明；</w:t>
      </w:r>
    </w:p>
    <w:p>
      <w:pPr>
        <w:pStyle w:val="6"/>
        <w:numPr>
          <w:ilvl w:val="0"/>
          <w:numId w:val="23"/>
        </w:numPr>
        <w:spacing w:line="360" w:lineRule="auto"/>
        <w:ind w:left="0" w:firstLine="420"/>
        <w:rPr>
          <w:rFonts w:hint="eastAsia" w:hAnsi="宋体" w:cs="宋体"/>
          <w:color w:val="000000"/>
          <w:szCs w:val="21"/>
        </w:rPr>
      </w:pPr>
      <w:r>
        <w:rPr>
          <w:rFonts w:hint="eastAsia"/>
        </w:rPr>
        <w:t>《报价表》中</w:t>
      </w:r>
      <w:r>
        <w:rPr>
          <w:rFonts w:hint="eastAsia" w:hAnsi="宋体" w:cs="宋体"/>
          <w:color w:val="000000"/>
          <w:szCs w:val="21"/>
        </w:rPr>
        <w:t>所有报价均采用人民币报价，并注明含税和未税价格、税率；</w:t>
      </w:r>
    </w:p>
    <w:p>
      <w:pPr>
        <w:pStyle w:val="6"/>
        <w:numPr>
          <w:ilvl w:val="0"/>
          <w:numId w:val="23"/>
        </w:numPr>
        <w:spacing w:line="360" w:lineRule="auto"/>
        <w:ind w:left="0" w:firstLine="420"/>
        <w:rPr>
          <w:rFonts w:hint="eastAsia" w:hAnsi="宋体" w:cs="宋体"/>
          <w:color w:val="000000"/>
          <w:szCs w:val="21"/>
        </w:rPr>
      </w:pPr>
      <w:r>
        <w:rPr>
          <w:rFonts w:hint="eastAsia" w:hAnsi="宋体" w:cs="宋体"/>
          <w:color w:val="000000"/>
          <w:szCs w:val="21"/>
        </w:rPr>
        <w:t>《报价表》打印并盖章，视为有效。</w:t>
      </w:r>
    </w:p>
    <w:p>
      <w:pPr>
        <w:pStyle w:val="21"/>
        <w:widowControl/>
        <w:numPr>
          <w:ilvl w:val="0"/>
          <w:numId w:val="24"/>
        </w:numPr>
        <w:ind w:firstLineChars="0"/>
        <w:rPr>
          <w:rFonts w:hint="eastAsia" w:ascii="宋体" w:hAnsi="宋体" w:cs="宋体"/>
          <w:b/>
          <w:bCs/>
          <w:sz w:val="21"/>
          <w:szCs w:val="21"/>
        </w:rPr>
      </w:pPr>
      <w:r>
        <w:rPr>
          <w:rFonts w:hint="eastAsia" w:ascii="宋体" w:hAnsi="宋体" w:cs="宋体"/>
          <w:b/>
          <w:bCs/>
          <w:sz w:val="21"/>
          <w:szCs w:val="21"/>
        </w:rPr>
        <w:t>电子版文件</w:t>
      </w:r>
    </w:p>
    <w:p>
      <w:pPr>
        <w:pStyle w:val="6"/>
        <w:numPr>
          <w:ilvl w:val="0"/>
          <w:numId w:val="25"/>
        </w:numPr>
        <w:spacing w:line="360" w:lineRule="auto"/>
        <w:ind w:left="5" w:firstLine="415"/>
        <w:rPr>
          <w:rFonts w:hint="eastAsia" w:hAnsi="宋体" w:cs="宋体"/>
          <w:szCs w:val="21"/>
        </w:rPr>
      </w:pPr>
      <w:r>
        <w:rPr>
          <w:rFonts w:hint="eastAsia" w:hAnsi="宋体" w:cs="宋体"/>
          <w:szCs w:val="21"/>
        </w:rPr>
        <w:t>请在U盘中分别建立资质标文件、技术标文件、商务标文件三个文件夹放入投标相关资料，U盘总文件名称为投标单位全称，U盘上交存档，不返还。</w:t>
      </w:r>
    </w:p>
    <w:p>
      <w:pPr>
        <w:pStyle w:val="6"/>
        <w:numPr>
          <w:ilvl w:val="0"/>
          <w:numId w:val="25"/>
        </w:numPr>
        <w:spacing w:line="360" w:lineRule="auto"/>
        <w:ind w:left="5" w:firstLine="415"/>
        <w:rPr>
          <w:rFonts w:hint="eastAsia" w:hAnsi="宋体" w:cs="宋体"/>
          <w:szCs w:val="21"/>
        </w:rPr>
      </w:pPr>
      <w:r>
        <w:rPr>
          <w:rFonts w:hint="eastAsia" w:hAnsi="宋体" w:cs="宋体"/>
          <w:szCs w:val="21"/>
        </w:rPr>
        <w:t>包含资质标文件、技术标文件、商务标文件等所有内容，将文件扫描后存为pdf格式提交。</w:t>
      </w:r>
    </w:p>
    <w:p>
      <w:pPr>
        <w:pStyle w:val="6"/>
        <w:spacing w:line="360" w:lineRule="auto"/>
        <w:rPr>
          <w:rFonts w:hint="eastAsia" w:hAnsi="宋体" w:cs="宋体"/>
          <w:szCs w:val="21"/>
        </w:rPr>
      </w:pPr>
    </w:p>
    <w:p>
      <w:pPr>
        <w:rPr>
          <w:rFonts w:hint="eastAsia" w:hAnsi="宋体" w:cs="宋体"/>
          <w:szCs w:val="21"/>
        </w:rPr>
      </w:pPr>
      <w:r>
        <w:rPr>
          <w:rFonts w:hint="eastAsia" w:hAnsi="宋体" w:cs="宋体"/>
          <w:szCs w:val="21"/>
        </w:rPr>
        <w:br w:type="page"/>
      </w:r>
    </w:p>
    <w:p>
      <w:pPr>
        <w:rPr>
          <w:rFonts w:hint="eastAsia" w:ascii="宋体" w:hAnsi="宋体" w:cs="宋体"/>
          <w:b/>
          <w:bCs/>
          <w:sz w:val="28"/>
        </w:rPr>
      </w:pPr>
      <w:r>
        <w:rPr>
          <w:rFonts w:hint="eastAsia" w:ascii="宋体" w:hAnsi="宋体" w:cs="宋体"/>
          <w:b/>
          <w:bCs/>
          <w:sz w:val="28"/>
        </w:rPr>
        <w:t xml:space="preserve">附件1                        </w:t>
      </w:r>
    </w:p>
    <w:p>
      <w:pPr>
        <w:jc w:val="center"/>
        <w:rPr>
          <w:rFonts w:hint="eastAsia" w:ascii="宋体" w:hAnsi="宋体" w:cs="宋体"/>
          <w:b/>
          <w:bCs/>
          <w:sz w:val="28"/>
        </w:rPr>
      </w:pPr>
      <w:r>
        <w:rPr>
          <w:rFonts w:hint="eastAsia" w:ascii="宋体" w:hAnsi="宋体" w:cs="宋体"/>
          <w:b/>
          <w:bCs/>
          <w:sz w:val="28"/>
        </w:rPr>
        <w:t>投标函</w:t>
      </w:r>
    </w:p>
    <w:p>
      <w:pPr>
        <w:spacing w:line="408" w:lineRule="auto"/>
        <w:rPr>
          <w:rFonts w:hint="eastAsia" w:ascii="宋体" w:hAnsi="宋体" w:cs="宋体"/>
          <w:u w:val="single"/>
        </w:rPr>
      </w:pPr>
      <w:r>
        <w:rPr>
          <w:rFonts w:hint="eastAsia" w:ascii="宋体" w:hAnsi="宋体" w:cs="宋体"/>
        </w:rPr>
        <w:t>致</w:t>
      </w:r>
      <w:r>
        <w:rPr>
          <w:rFonts w:hint="eastAsia" w:ascii="宋体" w:hAnsi="宋体" w:cs="宋体"/>
          <w:u w:val="single"/>
        </w:rPr>
        <w:t>（招标人名称）                            ：</w:t>
      </w:r>
    </w:p>
    <w:p>
      <w:pPr>
        <w:spacing w:line="408" w:lineRule="auto"/>
        <w:ind w:firstLine="645"/>
        <w:rPr>
          <w:rFonts w:hint="eastAsia" w:ascii="宋体" w:hAnsi="宋体" w:cs="宋体"/>
        </w:rPr>
      </w:pPr>
      <w:r>
        <w:rPr>
          <w:rFonts w:hint="eastAsia" w:ascii="宋体" w:hAnsi="宋体" w:cs="宋体"/>
        </w:rPr>
        <w:t>根据贵方</w:t>
      </w:r>
      <w:r>
        <w:rPr>
          <w:rFonts w:hint="eastAsia" w:ascii="宋体" w:hAnsi="宋体" w:cs="宋体"/>
          <w:u w:val="single"/>
        </w:rPr>
        <w:t>中国重汽集团济南专用车有限公司新媒体平台直播和短视频运营项目</w:t>
      </w:r>
      <w:r>
        <w:rPr>
          <w:rFonts w:hint="eastAsia" w:ascii="宋体" w:hAnsi="宋体" w:cs="宋体"/>
        </w:rPr>
        <w:t>招标书，签字代表</w:t>
      </w:r>
      <w:r>
        <w:rPr>
          <w:rFonts w:hint="eastAsia" w:ascii="宋体" w:hAnsi="宋体" w:cs="宋体"/>
          <w:u w:val="single"/>
        </w:rPr>
        <w:t xml:space="preserve">（全名、职务）           </w:t>
      </w:r>
      <w:r>
        <w:rPr>
          <w:rFonts w:hint="eastAsia" w:ascii="宋体" w:hAnsi="宋体" w:cs="宋体"/>
        </w:rPr>
        <w:t>经正式授权并代表投标人</w:t>
      </w:r>
      <w:r>
        <w:rPr>
          <w:rFonts w:hint="eastAsia" w:ascii="宋体" w:hAnsi="宋体" w:cs="宋体"/>
          <w:u w:val="single"/>
        </w:rPr>
        <w:t xml:space="preserve">（投标人名称、地址）              </w:t>
      </w:r>
      <w:r>
        <w:rPr>
          <w:rFonts w:hint="eastAsia" w:ascii="宋体" w:hAnsi="宋体" w:cs="宋体"/>
        </w:rPr>
        <w:t>提交下述文件：</w:t>
      </w:r>
    </w:p>
    <w:p>
      <w:pPr>
        <w:spacing w:line="408" w:lineRule="auto"/>
        <w:rPr>
          <w:rFonts w:hint="eastAsia" w:ascii="宋体" w:hAnsi="宋体" w:cs="宋体"/>
        </w:rPr>
      </w:pPr>
      <w:r>
        <w:rPr>
          <w:rFonts w:hint="eastAsia" w:ascii="宋体" w:hAnsi="宋体" w:cs="宋体"/>
        </w:rPr>
        <w:t>据此，签字代表宣布同意如下：</w:t>
      </w:r>
    </w:p>
    <w:p>
      <w:pPr>
        <w:numPr>
          <w:ilvl w:val="0"/>
          <w:numId w:val="26"/>
        </w:numPr>
        <w:spacing w:line="408" w:lineRule="auto"/>
        <w:rPr>
          <w:rFonts w:hint="eastAsia" w:ascii="宋体" w:hAnsi="宋体" w:cs="宋体"/>
        </w:rPr>
      </w:pPr>
      <w:r>
        <w:rPr>
          <w:rFonts w:hint="eastAsia" w:ascii="宋体" w:hAnsi="宋体" w:cs="宋体"/>
        </w:rPr>
        <w:t>投标人将按招标文件的规定履行合同责任和义务。</w:t>
      </w:r>
    </w:p>
    <w:p>
      <w:pPr>
        <w:numPr>
          <w:ilvl w:val="0"/>
          <w:numId w:val="26"/>
        </w:numPr>
        <w:spacing w:line="408" w:lineRule="auto"/>
        <w:rPr>
          <w:rFonts w:hint="eastAsia" w:ascii="宋体" w:hAnsi="宋体" w:cs="宋体"/>
        </w:rPr>
      </w:pPr>
      <w:r>
        <w:rPr>
          <w:rFonts w:hint="eastAsia" w:ascii="宋体" w:hAnsi="宋体" w:cs="宋体"/>
        </w:rPr>
        <w:t>投标人已详细审查全部招标文件，包括修改文件（如有的话）以及全部参考资料和有关附件，我们完全理解并同意放弃对这方面有不明及误解的权利。</w:t>
      </w:r>
    </w:p>
    <w:p>
      <w:pPr>
        <w:numPr>
          <w:ilvl w:val="0"/>
          <w:numId w:val="26"/>
        </w:numPr>
        <w:spacing w:line="408" w:lineRule="auto"/>
        <w:rPr>
          <w:rFonts w:hint="eastAsia" w:ascii="宋体" w:hAnsi="宋体" w:cs="宋体"/>
        </w:rPr>
      </w:pPr>
      <w:r>
        <w:rPr>
          <w:rFonts w:hint="eastAsia" w:ascii="宋体" w:hAnsi="宋体" w:cs="宋体"/>
          <w:szCs w:val="21"/>
        </w:rPr>
        <w:t>投标有效期：自投标截止之日起至合同签署日一直有效。</w:t>
      </w:r>
    </w:p>
    <w:p>
      <w:pPr>
        <w:numPr>
          <w:ilvl w:val="0"/>
          <w:numId w:val="26"/>
        </w:numPr>
        <w:spacing w:line="408" w:lineRule="auto"/>
        <w:rPr>
          <w:rFonts w:hint="eastAsia" w:ascii="宋体" w:hAnsi="宋体" w:cs="宋体"/>
        </w:rPr>
      </w:pPr>
      <w:r>
        <w:rPr>
          <w:rFonts w:hint="eastAsia" w:ascii="宋体" w:hAnsi="宋体" w:cs="宋体"/>
        </w:rPr>
        <w:t>投标人同意提供贵方要求的可能与投标有关的一切数据和资料，完全理解贵方不一定要接受最低价的投标或收到的任何投标。</w:t>
      </w:r>
    </w:p>
    <w:p>
      <w:pPr>
        <w:numPr>
          <w:ilvl w:val="0"/>
          <w:numId w:val="26"/>
        </w:numPr>
        <w:spacing w:line="408" w:lineRule="auto"/>
        <w:rPr>
          <w:rFonts w:hint="eastAsia" w:ascii="宋体" w:hAnsi="宋体" w:cs="宋体"/>
        </w:rPr>
      </w:pPr>
      <w:r>
        <w:rPr>
          <w:rFonts w:hint="eastAsia" w:ascii="宋体" w:hAnsi="宋体" w:cs="宋体"/>
        </w:rPr>
        <w:t>投标人承诺所提供的所有数据和资料均真实有效，如存在虚报情况，投标人愿为此承担一切法律责任，并主动退出本项目竞标。</w:t>
      </w:r>
    </w:p>
    <w:p>
      <w:pPr>
        <w:numPr>
          <w:ilvl w:val="0"/>
          <w:numId w:val="26"/>
        </w:numPr>
        <w:spacing w:line="408" w:lineRule="auto"/>
        <w:rPr>
          <w:rFonts w:hint="eastAsia" w:ascii="宋体" w:hAnsi="宋体" w:cs="宋体"/>
        </w:rPr>
      </w:pPr>
      <w:r>
        <w:rPr>
          <w:rFonts w:hint="eastAsia" w:ascii="宋体" w:hAnsi="宋体" w:cs="宋体"/>
        </w:rPr>
        <w:t>与本投标有关的一切正式往来通讯请寄：</w:t>
      </w:r>
    </w:p>
    <w:p>
      <w:pPr>
        <w:spacing w:line="408" w:lineRule="auto"/>
        <w:ind w:left="795"/>
        <w:rPr>
          <w:rFonts w:hint="eastAsia" w:ascii="宋体" w:hAnsi="宋体" w:cs="宋体"/>
        </w:rPr>
      </w:pPr>
      <w:r>
        <w:rPr>
          <w:rFonts w:hint="eastAsia" w:ascii="宋体" w:hAnsi="宋体" w:cs="宋体"/>
        </w:rPr>
        <w:t>地址：                                   邮编：</w:t>
      </w:r>
    </w:p>
    <w:p>
      <w:pPr>
        <w:spacing w:line="408" w:lineRule="auto"/>
        <w:ind w:left="795"/>
        <w:rPr>
          <w:rFonts w:hint="eastAsia" w:ascii="宋体" w:hAnsi="宋体" w:cs="宋体"/>
        </w:rPr>
      </w:pPr>
      <w:r>
        <w:rPr>
          <w:rFonts w:hint="eastAsia" w:ascii="宋体" w:hAnsi="宋体" w:cs="宋体"/>
        </w:rPr>
        <w:t>电话：                                   传真：</w:t>
      </w:r>
    </w:p>
    <w:p>
      <w:pPr>
        <w:spacing w:line="408" w:lineRule="auto"/>
        <w:ind w:left="795"/>
        <w:rPr>
          <w:rFonts w:hint="eastAsia" w:ascii="宋体" w:hAnsi="宋体" w:cs="宋体"/>
        </w:rPr>
      </w:pPr>
    </w:p>
    <w:p>
      <w:pPr>
        <w:spacing w:line="408" w:lineRule="auto"/>
        <w:ind w:left="795"/>
        <w:rPr>
          <w:rFonts w:hint="eastAsia" w:ascii="宋体" w:hAnsi="宋体" w:cs="宋体"/>
        </w:rPr>
      </w:pPr>
    </w:p>
    <w:p>
      <w:pPr>
        <w:spacing w:line="408" w:lineRule="auto"/>
        <w:ind w:left="795"/>
        <w:rPr>
          <w:rFonts w:hint="eastAsia" w:ascii="宋体" w:hAnsi="宋体" w:cs="宋体"/>
        </w:rPr>
      </w:pPr>
    </w:p>
    <w:p>
      <w:pPr>
        <w:spacing w:line="408" w:lineRule="auto"/>
        <w:ind w:firstLine="630" w:firstLineChars="300"/>
        <w:jc w:val="left"/>
        <w:rPr>
          <w:rFonts w:hint="eastAsia" w:ascii="宋体" w:hAnsi="宋体" w:cs="宋体"/>
        </w:rPr>
      </w:pPr>
      <w:r>
        <w:rPr>
          <w:rFonts w:hint="eastAsia" w:ascii="宋体" w:hAnsi="宋体" w:cs="宋体"/>
        </w:rPr>
        <w:t xml:space="preserve">投标人授权代表签字：                 职务：                </w:t>
      </w:r>
    </w:p>
    <w:p>
      <w:pPr>
        <w:spacing w:line="408" w:lineRule="auto"/>
        <w:ind w:firstLine="630" w:firstLineChars="300"/>
        <w:jc w:val="left"/>
        <w:rPr>
          <w:rFonts w:hint="eastAsia" w:ascii="宋体" w:hAnsi="宋体" w:cs="宋体"/>
        </w:rPr>
      </w:pPr>
      <w:r>
        <w:rPr>
          <w:rFonts w:hint="eastAsia" w:ascii="宋体" w:hAnsi="宋体" w:cs="宋体"/>
        </w:rPr>
        <w:t>投标人名称（及公章）：</w:t>
      </w:r>
    </w:p>
    <w:p>
      <w:pPr>
        <w:spacing w:line="408" w:lineRule="auto"/>
        <w:ind w:firstLine="630" w:firstLineChars="300"/>
        <w:jc w:val="left"/>
        <w:rPr>
          <w:rFonts w:hint="eastAsia" w:ascii="宋体" w:hAnsi="宋体" w:cs="宋体"/>
        </w:rPr>
      </w:pPr>
      <w:r>
        <w:rPr>
          <w:rFonts w:hint="eastAsia" w:ascii="宋体" w:hAnsi="宋体" w:cs="宋体"/>
        </w:rPr>
        <w:t>日期：        年       月       日</w:t>
      </w:r>
    </w:p>
    <w:p>
      <w:pPr>
        <w:rPr>
          <w:rFonts w:hint="eastAsia" w:ascii="宋体" w:hAnsi="宋体" w:cs="宋体"/>
          <w:b/>
          <w:bCs/>
          <w:sz w:val="28"/>
        </w:rPr>
      </w:pPr>
    </w:p>
    <w:p>
      <w:pPr>
        <w:rPr>
          <w:rFonts w:hint="eastAsia" w:ascii="宋体" w:hAnsi="宋体" w:cs="宋体"/>
        </w:rPr>
      </w:pPr>
      <w:r>
        <w:rPr>
          <w:rFonts w:hint="eastAsia" w:ascii="宋体" w:hAnsi="宋体" w:cs="宋体"/>
          <w:b/>
          <w:bCs/>
          <w:sz w:val="28"/>
        </w:rPr>
        <w:t>附件2</w:t>
      </w:r>
    </w:p>
    <w:p>
      <w:pPr>
        <w:spacing w:line="360" w:lineRule="auto"/>
        <w:jc w:val="center"/>
        <w:rPr>
          <w:rFonts w:hint="eastAsia" w:ascii="宋体" w:hAnsi="宋体" w:cs="宋体"/>
          <w:b/>
          <w:bCs/>
          <w:sz w:val="28"/>
          <w:szCs w:val="28"/>
        </w:rPr>
      </w:pPr>
      <w:r>
        <w:rPr>
          <w:rFonts w:hint="eastAsia" w:ascii="宋体" w:hAnsi="宋体" w:cs="宋体"/>
          <w:b/>
          <w:bCs/>
          <w:sz w:val="28"/>
          <w:szCs w:val="28"/>
        </w:rPr>
        <w:t>法人授权委托书</w:t>
      </w:r>
    </w:p>
    <w:p>
      <w:pPr>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（招标人名称）                            ：</w:t>
      </w: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本授权委托书声明：我</w:t>
      </w:r>
      <w:r>
        <w:rPr>
          <w:rFonts w:hint="eastAsia" w:ascii="宋体" w:hAnsi="宋体" w:cs="宋体"/>
          <w:szCs w:val="21"/>
          <w:u w:val="single"/>
        </w:rPr>
        <w:t xml:space="preserve">（法人姓名）       </w:t>
      </w:r>
      <w:r>
        <w:rPr>
          <w:rFonts w:hint="eastAsia" w:ascii="宋体" w:hAnsi="宋体" w:cs="宋体"/>
          <w:szCs w:val="21"/>
        </w:rPr>
        <w:t>系</w:t>
      </w:r>
      <w:r>
        <w:rPr>
          <w:rFonts w:hint="eastAsia" w:ascii="宋体" w:hAnsi="宋体" w:cs="宋体"/>
          <w:szCs w:val="21"/>
          <w:u w:val="single"/>
        </w:rPr>
        <w:t xml:space="preserve">（投标人名称）                   </w:t>
      </w:r>
      <w:r>
        <w:rPr>
          <w:rFonts w:hint="eastAsia" w:ascii="宋体" w:hAnsi="宋体" w:cs="宋体"/>
          <w:szCs w:val="21"/>
        </w:rPr>
        <w:t>的法定代</w:t>
      </w:r>
    </w:p>
    <w:p>
      <w:pPr>
        <w:spacing w:line="360" w:lineRule="auto"/>
        <w:rPr>
          <w:rFonts w:hint="eastAsia" w:ascii="宋体" w:hAnsi="宋体" w:cs="宋体"/>
          <w:szCs w:val="21"/>
        </w:rPr>
      </w:pPr>
      <w:r>
        <w:rPr>
          <w:rFonts w:hint="eastAsia" w:ascii="宋体" w:hAnsi="宋体" w:cs="宋体"/>
          <w:szCs w:val="21"/>
        </w:rPr>
        <w:t>表人，现授权委托</w:t>
      </w:r>
      <w:r>
        <w:rPr>
          <w:rFonts w:hint="eastAsia" w:ascii="宋体" w:hAnsi="宋体" w:cs="宋体"/>
          <w:szCs w:val="21"/>
          <w:u w:val="single"/>
        </w:rPr>
        <w:t xml:space="preserve">（投标人名称）                    </w:t>
      </w:r>
      <w:r>
        <w:rPr>
          <w:rFonts w:hint="eastAsia" w:ascii="宋体" w:hAnsi="宋体" w:cs="宋体"/>
          <w:szCs w:val="21"/>
        </w:rPr>
        <w:t>的</w:t>
      </w:r>
      <w:r>
        <w:rPr>
          <w:rFonts w:hint="eastAsia" w:ascii="宋体" w:hAnsi="宋体" w:cs="宋体"/>
          <w:szCs w:val="21"/>
          <w:u w:val="single"/>
        </w:rPr>
        <w:t xml:space="preserve"> （授权委托代理人姓名）        </w:t>
      </w:r>
      <w:r>
        <w:rPr>
          <w:rFonts w:hint="eastAsia" w:ascii="宋体" w:hAnsi="宋体" w:cs="宋体"/>
          <w:szCs w:val="21"/>
        </w:rPr>
        <w:t>为我公司参加贵方组织的</w:t>
      </w:r>
      <w:r>
        <w:rPr>
          <w:rFonts w:hint="eastAsia" w:ascii="宋体" w:hAnsi="宋体" w:cs="宋体"/>
          <w:szCs w:val="21"/>
          <w:u w:val="single"/>
        </w:rPr>
        <w:t xml:space="preserve">                                项目</w:t>
      </w:r>
      <w:r>
        <w:rPr>
          <w:rFonts w:hint="eastAsia" w:ascii="宋体" w:hAnsi="宋体" w:cs="宋体"/>
          <w:szCs w:val="21"/>
        </w:rPr>
        <w:t>的法定代表人授权委托代理人，全权代表本公司处理投标过程的一切事宜，包括：投标、参与开标、谈判、签约等。</w:t>
      </w:r>
    </w:p>
    <w:p>
      <w:pPr>
        <w:spacing w:line="360" w:lineRule="auto"/>
        <w:ind w:firstLine="420" w:firstLineChars="200"/>
        <w:rPr>
          <w:rFonts w:hint="eastAsia" w:ascii="宋体" w:hAnsi="宋体" w:cs="宋体"/>
          <w:szCs w:val="21"/>
        </w:rPr>
      </w:pPr>
      <w:r>
        <w:rPr>
          <w:rFonts w:hint="eastAsia" w:ascii="宋体" w:hAnsi="宋体" w:cs="宋体"/>
          <w:szCs w:val="21"/>
        </w:rPr>
        <w:t xml:space="preserve">投标人授权代表在投标过程中所签署的一切文件和处理与之有关的一切事务，我公司均予认可并对此承担全部责任。 </w:t>
      </w:r>
    </w:p>
    <w:p>
      <w:pPr>
        <w:spacing w:line="360" w:lineRule="auto"/>
        <w:rPr>
          <w:rFonts w:hint="eastAsia" w:ascii="宋体" w:hAnsi="宋体" w:cs="宋体"/>
          <w:szCs w:val="21"/>
          <w:u w:val="single"/>
        </w:rPr>
      </w:pPr>
      <w:r>
        <w:rPr>
          <w:rFonts w:hint="eastAsia" w:ascii="宋体" w:hAnsi="宋体" w:cs="宋体"/>
          <w:szCs w:val="21"/>
        </w:rPr>
        <w:t>委托期限：</w:t>
      </w:r>
      <w:r>
        <w:rPr>
          <w:rFonts w:hint="eastAsia" w:ascii="宋体" w:hAnsi="宋体" w:cs="宋体"/>
          <w:szCs w:val="21"/>
          <w:u w:val="single"/>
        </w:rPr>
        <w:t>****年 * 月 * 日至 ****年 * 月 * 日</w:t>
      </w:r>
    </w:p>
    <w:p>
      <w:pPr>
        <w:spacing w:line="360" w:lineRule="auto"/>
        <w:ind w:firstLine="420" w:firstLineChars="200"/>
        <w:rPr>
          <w:rFonts w:hint="eastAsia" w:ascii="宋体" w:hAnsi="宋体" w:cs="宋体"/>
          <w:szCs w:val="21"/>
        </w:rPr>
      </w:pPr>
      <w:r>
        <w:rPr>
          <w:rFonts w:hint="eastAsia" w:ascii="宋体" w:hAnsi="宋体" w:cs="宋体"/>
          <w:szCs w:val="21"/>
        </w:rPr>
        <w:t>全权代表无转委权。特此委托。</w:t>
      </w:r>
    </w:p>
    <w:tbl>
      <w:tblPr>
        <w:tblStyle w:val="9"/>
        <w:tblpPr w:leftFromText="180" w:rightFromText="180" w:vertAnchor="text" w:horzAnchor="page" w:tblpX="6137" w:tblpY="29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atLeast"/>
        </w:trPr>
        <w:tc>
          <w:tcPr>
            <w:tcW w:w="3794" w:type="dxa"/>
          </w:tcPr>
          <w:p>
            <w:pPr>
              <w:rPr>
                <w:rFonts w:hint="eastAsia" w:ascii="宋体" w:hAnsi="宋体" w:cs="宋体"/>
                <w:szCs w:val="21"/>
              </w:rPr>
            </w:pPr>
            <w:r>
              <w:rPr>
                <w:rFonts w:hint="eastAsia" w:ascii="宋体" w:hAnsi="宋体" w:cs="宋体"/>
                <w:szCs w:val="21"/>
              </w:rPr>
              <w:softHyphen/>
            </w:r>
            <w:r>
              <w:rPr>
                <w:rFonts w:hint="eastAsia" w:ascii="宋体" w:hAnsi="宋体" w:cs="宋体"/>
                <w:szCs w:val="21"/>
              </w:rPr>
              <w:softHyphen/>
            </w:r>
            <w:r>
              <w:rPr>
                <w:rFonts w:hint="eastAsia" w:ascii="宋体" w:hAnsi="宋体" w:cs="宋体"/>
                <w:szCs w:val="21"/>
              </w:rPr>
              <w:softHyphen/>
            </w:r>
            <w:r>
              <w:rPr>
                <w:rFonts w:hint="eastAsia" w:ascii="宋体" w:hAnsi="宋体" w:cs="宋体"/>
                <w:szCs w:val="21"/>
              </w:rPr>
              <w:softHyphen/>
            </w:r>
            <w:r>
              <w:rPr>
                <w:rFonts w:hint="eastAsia" w:ascii="宋体" w:hAnsi="宋体" w:cs="宋体"/>
                <w:szCs w:val="21"/>
              </w:rPr>
              <w:t>法定代表人身份证复印件（反面）</w:t>
            </w:r>
          </w:p>
        </w:tc>
      </w:tr>
    </w:tbl>
    <w:p>
      <w:pPr>
        <w:rPr>
          <w:rFonts w:hint="eastAsia" w:ascii="宋体" w:hAnsi="宋体" w:cs="宋体"/>
          <w:szCs w:val="21"/>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trPr>
        <w:tc>
          <w:tcPr>
            <w:tcW w:w="4077" w:type="dxa"/>
          </w:tcPr>
          <w:p>
            <w:pPr>
              <w:rPr>
                <w:rFonts w:hint="eastAsia" w:ascii="宋体" w:hAnsi="宋体" w:cs="宋体"/>
                <w:szCs w:val="21"/>
              </w:rPr>
            </w:pPr>
            <w:r>
              <w:rPr>
                <w:rFonts w:hint="eastAsia" w:ascii="宋体" w:hAnsi="宋体" w:cs="宋体"/>
                <w:szCs w:val="21"/>
              </w:rPr>
              <w:t>法定代表人身份证复印件（正面）</w:t>
            </w:r>
          </w:p>
        </w:tc>
      </w:tr>
    </w:tbl>
    <w:p>
      <w:pPr>
        <w:rPr>
          <w:rFonts w:hint="eastAsia" w:ascii="宋体" w:hAnsi="宋体" w:cs="宋体"/>
          <w:vanish/>
        </w:rPr>
      </w:pPr>
    </w:p>
    <w:tbl>
      <w:tblPr>
        <w:tblStyle w:val="9"/>
        <w:tblpPr w:leftFromText="180" w:rightFromText="180" w:vertAnchor="text" w:horzAnchor="page" w:tblpX="1420" w:tblpY="1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trPr>
        <w:tc>
          <w:tcPr>
            <w:tcW w:w="4077" w:type="dxa"/>
          </w:tcPr>
          <w:p>
            <w:pPr>
              <w:rPr>
                <w:rFonts w:hint="eastAsia" w:ascii="宋体" w:hAnsi="宋体" w:cs="宋体"/>
                <w:szCs w:val="21"/>
              </w:rPr>
            </w:pPr>
            <w:r>
              <w:rPr>
                <w:rFonts w:hint="eastAsia" w:ascii="宋体" w:hAnsi="宋体" w:cs="宋体"/>
                <w:szCs w:val="21"/>
              </w:rPr>
              <w:t>授权代理人身份证复印件（正面）</w:t>
            </w:r>
          </w:p>
        </w:tc>
      </w:tr>
    </w:tbl>
    <w:tbl>
      <w:tblPr>
        <w:tblStyle w:val="9"/>
        <w:tblpPr w:leftFromText="180" w:rightFromText="180" w:vertAnchor="text" w:horzAnchor="page" w:tblpX="6037" w:tblpY="1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trPr>
        <w:tc>
          <w:tcPr>
            <w:tcW w:w="4100" w:type="dxa"/>
          </w:tcPr>
          <w:p>
            <w:pPr>
              <w:rPr>
                <w:rFonts w:hint="eastAsia" w:ascii="宋体" w:hAnsi="宋体" w:cs="宋体"/>
                <w:szCs w:val="21"/>
              </w:rPr>
            </w:pPr>
            <w:r>
              <w:rPr>
                <w:rFonts w:hint="eastAsia" w:ascii="宋体" w:hAnsi="宋体" w:cs="宋体"/>
                <w:szCs w:val="21"/>
              </w:rPr>
              <w:t>授权代理人身份证复印件（反面）</w:t>
            </w:r>
          </w:p>
        </w:tc>
      </w:tr>
    </w:tbl>
    <w:p>
      <w:pPr>
        <w:rPr>
          <w:rFonts w:hint="eastAsia" w:ascii="宋体" w:hAnsi="宋体" w:cs="宋体"/>
          <w:szCs w:val="21"/>
        </w:rPr>
      </w:pPr>
    </w:p>
    <w:p>
      <w:pPr>
        <w:spacing w:line="432" w:lineRule="auto"/>
        <w:rPr>
          <w:rFonts w:hint="eastAsia" w:ascii="宋体" w:hAnsi="宋体" w:cs="宋体"/>
          <w:szCs w:val="21"/>
          <w:u w:val="single"/>
        </w:rPr>
      </w:pPr>
      <w:r>
        <w:rPr>
          <w:rFonts w:hint="eastAsia" w:ascii="宋体" w:hAnsi="宋体" w:cs="宋体"/>
          <w:szCs w:val="21"/>
        </w:rPr>
        <w:t xml:space="preserve">                                                  单位名称（公章）：</w:t>
      </w:r>
      <w:r>
        <w:rPr>
          <w:rFonts w:hint="eastAsia" w:ascii="宋体" w:hAnsi="宋体" w:cs="宋体"/>
          <w:szCs w:val="21"/>
          <w:u w:val="single"/>
        </w:rPr>
        <w:t xml:space="preserve">                  </w:t>
      </w:r>
    </w:p>
    <w:p>
      <w:pPr>
        <w:spacing w:line="432" w:lineRule="auto"/>
        <w:ind w:firstLine="5250" w:firstLineChars="2500"/>
        <w:jc w:val="left"/>
        <w:rPr>
          <w:rFonts w:hint="eastAsia" w:ascii="宋体" w:hAnsi="宋体" w:cs="宋体"/>
          <w:szCs w:val="21"/>
          <w:u w:val="single"/>
        </w:rPr>
      </w:pPr>
      <w:r>
        <w:rPr>
          <w:rFonts w:hint="eastAsia" w:ascii="宋体" w:hAnsi="宋体" w:cs="宋体"/>
          <w:szCs w:val="21"/>
        </w:rPr>
        <w:t xml:space="preserve">法定代表人签字： </w:t>
      </w:r>
      <w:r>
        <w:rPr>
          <w:rFonts w:hint="eastAsia" w:ascii="宋体" w:hAnsi="宋体" w:cs="宋体"/>
          <w:szCs w:val="21"/>
          <w:u w:val="single"/>
        </w:rPr>
        <w:t xml:space="preserve">                  </w:t>
      </w:r>
    </w:p>
    <w:p>
      <w:pPr>
        <w:spacing w:line="432" w:lineRule="auto"/>
        <w:ind w:firstLine="5250" w:firstLineChars="2500"/>
        <w:jc w:val="left"/>
        <w:rPr>
          <w:rFonts w:hint="eastAsia" w:ascii="宋体" w:hAnsi="宋体" w:cs="宋体"/>
          <w:b/>
          <w:sz w:val="28"/>
          <w:szCs w:val="22"/>
          <w:lang w:bidi="ar"/>
        </w:rPr>
      </w:pPr>
      <w:r>
        <w:rPr>
          <w:rFonts w:hint="eastAsia" w:ascii="宋体" w:hAnsi="宋体" w:cs="宋体"/>
          <w:szCs w:val="21"/>
        </w:rPr>
        <w:t xml:space="preserve">授权代理人签字： </w:t>
      </w:r>
      <w:r>
        <w:rPr>
          <w:rFonts w:hint="eastAsia" w:ascii="宋体" w:hAnsi="宋体" w:cs="宋体"/>
          <w:szCs w:val="21"/>
          <w:u w:val="single"/>
        </w:rPr>
        <w:t xml:space="preserve">                  </w:t>
      </w:r>
    </w:p>
    <w:p>
      <w:pPr>
        <w:spacing w:line="432" w:lineRule="auto"/>
        <w:ind w:firstLine="6510" w:firstLineChars="3100"/>
        <w:rPr>
          <w:rFonts w:hint="eastAsia" w:ascii="宋体" w:hAnsi="宋体" w:cs="宋体"/>
          <w:szCs w:val="21"/>
        </w:rPr>
      </w:pPr>
      <w:r>
        <w:rPr>
          <w:rFonts w:hint="eastAsia" w:ascii="宋体" w:hAnsi="宋体" w:cs="宋体"/>
          <w:szCs w:val="21"/>
        </w:rPr>
        <w:t>日期：   年    月    日</w:t>
      </w:r>
    </w:p>
    <w:p>
      <w:pPr>
        <w:rPr>
          <w:rFonts w:hint="eastAsia" w:ascii="宋体" w:hAnsi="宋体" w:cs="宋体"/>
          <w:szCs w:val="21"/>
        </w:rPr>
      </w:pPr>
      <w:r>
        <w:rPr>
          <w:rFonts w:hint="eastAsia" w:ascii="宋体" w:hAnsi="宋体" w:cs="宋体"/>
          <w:szCs w:val="21"/>
        </w:rPr>
        <w:br w:type="page"/>
      </w:r>
    </w:p>
    <w:p>
      <w:pPr>
        <w:rPr>
          <w:rFonts w:hint="eastAsia" w:ascii="宋体" w:hAnsi="宋体" w:cs="宋体"/>
          <w:b/>
          <w:bCs/>
          <w:sz w:val="28"/>
        </w:rPr>
      </w:pPr>
      <w:bookmarkStart w:id="9" w:name="_Toc150411874"/>
      <w:bookmarkStart w:id="10" w:name="_Toc56676966"/>
      <w:r>
        <w:rPr>
          <w:rFonts w:hint="eastAsia" w:ascii="宋体" w:hAnsi="宋体" w:cs="宋体"/>
          <w:b/>
          <w:bCs/>
          <w:sz w:val="28"/>
        </w:rPr>
        <w:t>附件3</w:t>
      </w:r>
    </w:p>
    <w:bookmarkEnd w:id="9"/>
    <w:bookmarkEnd w:id="10"/>
    <w:p>
      <w:pPr>
        <w:spacing w:line="400" w:lineRule="exact"/>
        <w:ind w:firstLine="643"/>
        <w:jc w:val="center"/>
        <w:rPr>
          <w:szCs w:val="24"/>
        </w:rPr>
      </w:pPr>
      <w:r>
        <w:rPr>
          <w:b/>
          <w:bCs/>
          <w:sz w:val="32"/>
          <w:szCs w:val="24"/>
        </w:rPr>
        <w:t>投标人基本情况表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723"/>
        <w:gridCol w:w="500"/>
        <w:gridCol w:w="652"/>
        <w:gridCol w:w="288"/>
        <w:gridCol w:w="63"/>
        <w:gridCol w:w="300"/>
        <w:gridCol w:w="177"/>
        <w:gridCol w:w="201"/>
        <w:gridCol w:w="63"/>
        <w:gridCol w:w="456"/>
        <w:gridCol w:w="51"/>
        <w:gridCol w:w="158"/>
        <w:gridCol w:w="420"/>
        <w:gridCol w:w="712"/>
        <w:gridCol w:w="480"/>
        <w:gridCol w:w="159"/>
        <w:gridCol w:w="450"/>
        <w:gridCol w:w="163"/>
        <w:gridCol w:w="287"/>
        <w:gridCol w:w="99"/>
        <w:gridCol w:w="240"/>
        <w:gridCol w:w="788"/>
        <w:gridCol w:w="169"/>
        <w:gridCol w:w="603"/>
        <w:gridCol w:w="243"/>
        <w:gridCol w:w="473"/>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Align w:val="center"/>
          </w:tcPr>
          <w:p>
            <w:pPr>
              <w:spacing w:line="400" w:lineRule="exact"/>
              <w:jc w:val="center"/>
              <w:rPr>
                <w:szCs w:val="24"/>
              </w:rPr>
            </w:pPr>
            <w:r>
              <w:rPr>
                <w:szCs w:val="24"/>
              </w:rPr>
              <w:t>单位</w:t>
            </w:r>
          </w:p>
          <w:p>
            <w:pPr>
              <w:spacing w:line="400" w:lineRule="exact"/>
              <w:jc w:val="center"/>
              <w:rPr>
                <w:szCs w:val="24"/>
              </w:rPr>
            </w:pPr>
            <w:r>
              <w:rPr>
                <w:szCs w:val="24"/>
              </w:rPr>
              <w:t>名称</w:t>
            </w:r>
          </w:p>
        </w:tc>
        <w:tc>
          <w:tcPr>
            <w:tcW w:w="1440" w:type="dxa"/>
            <w:gridSpan w:val="3"/>
            <w:vAlign w:val="center"/>
          </w:tcPr>
          <w:p>
            <w:pPr>
              <w:spacing w:line="400" w:lineRule="exact"/>
              <w:jc w:val="center"/>
              <w:rPr>
                <w:szCs w:val="24"/>
              </w:rPr>
            </w:pPr>
          </w:p>
        </w:tc>
        <w:tc>
          <w:tcPr>
            <w:tcW w:w="540" w:type="dxa"/>
            <w:gridSpan w:val="3"/>
            <w:vAlign w:val="center"/>
          </w:tcPr>
          <w:p>
            <w:pPr>
              <w:spacing w:line="400" w:lineRule="exact"/>
              <w:jc w:val="center"/>
              <w:rPr>
                <w:szCs w:val="24"/>
              </w:rPr>
            </w:pPr>
            <w:r>
              <w:rPr>
                <w:szCs w:val="24"/>
              </w:rPr>
              <w:t>代号</w:t>
            </w:r>
          </w:p>
        </w:tc>
        <w:tc>
          <w:tcPr>
            <w:tcW w:w="720" w:type="dxa"/>
            <w:gridSpan w:val="3"/>
            <w:vAlign w:val="center"/>
          </w:tcPr>
          <w:p>
            <w:pPr>
              <w:spacing w:line="400" w:lineRule="exact"/>
              <w:jc w:val="center"/>
              <w:rPr>
                <w:szCs w:val="24"/>
              </w:rPr>
            </w:pPr>
          </w:p>
        </w:tc>
        <w:tc>
          <w:tcPr>
            <w:tcW w:w="629" w:type="dxa"/>
            <w:gridSpan w:val="3"/>
            <w:vAlign w:val="center"/>
          </w:tcPr>
          <w:p>
            <w:pPr>
              <w:spacing w:line="400" w:lineRule="exact"/>
              <w:jc w:val="center"/>
              <w:rPr>
                <w:szCs w:val="24"/>
              </w:rPr>
            </w:pPr>
            <w:r>
              <w:rPr>
                <w:szCs w:val="24"/>
              </w:rPr>
              <w:t>电话</w:t>
            </w:r>
          </w:p>
        </w:tc>
        <w:tc>
          <w:tcPr>
            <w:tcW w:w="712" w:type="dxa"/>
            <w:vAlign w:val="center"/>
          </w:tcPr>
          <w:p>
            <w:pPr>
              <w:spacing w:line="400" w:lineRule="exact"/>
              <w:jc w:val="center"/>
              <w:rPr>
                <w:szCs w:val="24"/>
              </w:rPr>
            </w:pPr>
          </w:p>
        </w:tc>
        <w:tc>
          <w:tcPr>
            <w:tcW w:w="639" w:type="dxa"/>
            <w:gridSpan w:val="2"/>
            <w:vAlign w:val="center"/>
          </w:tcPr>
          <w:p>
            <w:pPr>
              <w:spacing w:line="400" w:lineRule="exact"/>
              <w:jc w:val="center"/>
              <w:rPr>
                <w:szCs w:val="24"/>
              </w:rPr>
            </w:pPr>
            <w:r>
              <w:rPr>
                <w:szCs w:val="24"/>
              </w:rPr>
              <w:t>主管</w:t>
            </w:r>
          </w:p>
          <w:p>
            <w:pPr>
              <w:spacing w:line="400" w:lineRule="exact"/>
              <w:jc w:val="center"/>
              <w:rPr>
                <w:szCs w:val="24"/>
              </w:rPr>
            </w:pPr>
            <w:r>
              <w:rPr>
                <w:szCs w:val="24"/>
              </w:rPr>
              <w:t>部门</w:t>
            </w:r>
          </w:p>
        </w:tc>
        <w:tc>
          <w:tcPr>
            <w:tcW w:w="900" w:type="dxa"/>
            <w:gridSpan w:val="3"/>
            <w:vAlign w:val="center"/>
          </w:tcPr>
          <w:p>
            <w:pPr>
              <w:spacing w:line="400" w:lineRule="exact"/>
              <w:jc w:val="center"/>
              <w:rPr>
                <w:szCs w:val="24"/>
              </w:rPr>
            </w:pPr>
          </w:p>
        </w:tc>
        <w:tc>
          <w:tcPr>
            <w:tcW w:w="1296" w:type="dxa"/>
            <w:gridSpan w:val="4"/>
            <w:vAlign w:val="center"/>
          </w:tcPr>
          <w:p>
            <w:pPr>
              <w:spacing w:line="400" w:lineRule="exact"/>
              <w:jc w:val="center"/>
              <w:rPr>
                <w:szCs w:val="24"/>
              </w:rPr>
            </w:pPr>
            <w:r>
              <w:rPr>
                <w:szCs w:val="24"/>
              </w:rPr>
              <w:t>企业负责人</w:t>
            </w:r>
          </w:p>
        </w:tc>
        <w:tc>
          <w:tcPr>
            <w:tcW w:w="603" w:type="dxa"/>
            <w:vAlign w:val="center"/>
          </w:tcPr>
          <w:p>
            <w:pPr>
              <w:spacing w:line="400" w:lineRule="exact"/>
              <w:jc w:val="center"/>
              <w:rPr>
                <w:szCs w:val="24"/>
              </w:rPr>
            </w:pPr>
          </w:p>
        </w:tc>
        <w:tc>
          <w:tcPr>
            <w:tcW w:w="716" w:type="dxa"/>
            <w:gridSpan w:val="2"/>
            <w:vAlign w:val="center"/>
          </w:tcPr>
          <w:p>
            <w:pPr>
              <w:spacing w:line="400" w:lineRule="exact"/>
              <w:jc w:val="center"/>
              <w:rPr>
                <w:szCs w:val="24"/>
              </w:rPr>
            </w:pPr>
            <w:r>
              <w:rPr>
                <w:szCs w:val="24"/>
              </w:rPr>
              <w:t>职务</w:t>
            </w:r>
          </w:p>
        </w:tc>
        <w:tc>
          <w:tcPr>
            <w:tcW w:w="607" w:type="dxa"/>
          </w:tcPr>
          <w:p>
            <w:pPr>
              <w:spacing w:line="400" w:lineRule="exac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713" w:hRule="atLeast"/>
        </w:trPr>
        <w:tc>
          <w:tcPr>
            <w:tcW w:w="723" w:type="dxa"/>
            <w:vAlign w:val="center"/>
          </w:tcPr>
          <w:p>
            <w:pPr>
              <w:spacing w:line="400" w:lineRule="exact"/>
              <w:jc w:val="center"/>
              <w:rPr>
                <w:szCs w:val="24"/>
              </w:rPr>
            </w:pPr>
            <w:r>
              <w:rPr>
                <w:szCs w:val="24"/>
              </w:rPr>
              <w:t>地址</w:t>
            </w:r>
          </w:p>
        </w:tc>
        <w:tc>
          <w:tcPr>
            <w:tcW w:w="1440" w:type="dxa"/>
            <w:gridSpan w:val="3"/>
            <w:vAlign w:val="center"/>
          </w:tcPr>
          <w:p>
            <w:pPr>
              <w:spacing w:line="400" w:lineRule="exact"/>
              <w:jc w:val="center"/>
              <w:rPr>
                <w:szCs w:val="24"/>
              </w:rPr>
            </w:pPr>
          </w:p>
        </w:tc>
        <w:tc>
          <w:tcPr>
            <w:tcW w:w="540" w:type="dxa"/>
            <w:gridSpan w:val="3"/>
            <w:vAlign w:val="center"/>
          </w:tcPr>
          <w:p>
            <w:pPr>
              <w:spacing w:line="400" w:lineRule="exact"/>
              <w:jc w:val="center"/>
              <w:rPr>
                <w:szCs w:val="24"/>
              </w:rPr>
            </w:pPr>
            <w:r>
              <w:rPr>
                <w:szCs w:val="24"/>
              </w:rPr>
              <w:t>邮箱</w:t>
            </w:r>
          </w:p>
        </w:tc>
        <w:tc>
          <w:tcPr>
            <w:tcW w:w="720" w:type="dxa"/>
            <w:gridSpan w:val="3"/>
            <w:vAlign w:val="center"/>
          </w:tcPr>
          <w:p>
            <w:pPr>
              <w:spacing w:line="400" w:lineRule="exact"/>
              <w:jc w:val="center"/>
              <w:rPr>
                <w:szCs w:val="24"/>
              </w:rPr>
            </w:pPr>
          </w:p>
        </w:tc>
        <w:tc>
          <w:tcPr>
            <w:tcW w:w="629" w:type="dxa"/>
            <w:gridSpan w:val="3"/>
            <w:vAlign w:val="center"/>
          </w:tcPr>
          <w:p>
            <w:pPr>
              <w:spacing w:line="400" w:lineRule="exact"/>
              <w:jc w:val="center"/>
              <w:rPr>
                <w:szCs w:val="24"/>
              </w:rPr>
            </w:pPr>
            <w:r>
              <w:rPr>
                <w:szCs w:val="24"/>
              </w:rPr>
              <w:t>传真</w:t>
            </w:r>
          </w:p>
        </w:tc>
        <w:tc>
          <w:tcPr>
            <w:tcW w:w="712" w:type="dxa"/>
            <w:vAlign w:val="center"/>
          </w:tcPr>
          <w:p>
            <w:pPr>
              <w:spacing w:line="400" w:lineRule="exact"/>
              <w:jc w:val="center"/>
              <w:rPr>
                <w:szCs w:val="24"/>
              </w:rPr>
            </w:pPr>
          </w:p>
        </w:tc>
        <w:tc>
          <w:tcPr>
            <w:tcW w:w="639" w:type="dxa"/>
            <w:gridSpan w:val="2"/>
            <w:vAlign w:val="center"/>
          </w:tcPr>
          <w:p>
            <w:pPr>
              <w:spacing w:line="400" w:lineRule="exact"/>
              <w:jc w:val="center"/>
              <w:rPr>
                <w:szCs w:val="24"/>
              </w:rPr>
            </w:pPr>
            <w:r>
              <w:rPr>
                <w:szCs w:val="24"/>
              </w:rPr>
              <w:t>经济</w:t>
            </w:r>
          </w:p>
          <w:p>
            <w:pPr>
              <w:spacing w:line="400" w:lineRule="exact"/>
              <w:jc w:val="center"/>
              <w:rPr>
                <w:szCs w:val="24"/>
              </w:rPr>
            </w:pPr>
            <w:r>
              <w:rPr>
                <w:szCs w:val="24"/>
              </w:rPr>
              <w:t>类型</w:t>
            </w:r>
          </w:p>
        </w:tc>
        <w:tc>
          <w:tcPr>
            <w:tcW w:w="900" w:type="dxa"/>
            <w:gridSpan w:val="3"/>
            <w:vAlign w:val="center"/>
          </w:tcPr>
          <w:p>
            <w:pPr>
              <w:spacing w:line="400" w:lineRule="exact"/>
              <w:jc w:val="center"/>
              <w:rPr>
                <w:szCs w:val="24"/>
              </w:rPr>
            </w:pPr>
          </w:p>
        </w:tc>
        <w:tc>
          <w:tcPr>
            <w:tcW w:w="1296" w:type="dxa"/>
            <w:gridSpan w:val="4"/>
            <w:vAlign w:val="center"/>
          </w:tcPr>
          <w:p>
            <w:pPr>
              <w:spacing w:line="400" w:lineRule="exact"/>
              <w:jc w:val="center"/>
              <w:rPr>
                <w:szCs w:val="24"/>
              </w:rPr>
            </w:pPr>
            <w:r>
              <w:rPr>
                <w:szCs w:val="24"/>
              </w:rPr>
              <w:t>授权代表</w:t>
            </w:r>
          </w:p>
        </w:tc>
        <w:tc>
          <w:tcPr>
            <w:tcW w:w="603" w:type="dxa"/>
            <w:vAlign w:val="center"/>
          </w:tcPr>
          <w:p>
            <w:pPr>
              <w:spacing w:line="400" w:lineRule="exact"/>
              <w:jc w:val="center"/>
              <w:rPr>
                <w:szCs w:val="24"/>
              </w:rPr>
            </w:pPr>
          </w:p>
        </w:tc>
        <w:tc>
          <w:tcPr>
            <w:tcW w:w="716" w:type="dxa"/>
            <w:gridSpan w:val="2"/>
            <w:vAlign w:val="center"/>
          </w:tcPr>
          <w:p>
            <w:pPr>
              <w:spacing w:line="400" w:lineRule="exact"/>
              <w:jc w:val="center"/>
              <w:rPr>
                <w:szCs w:val="24"/>
              </w:rPr>
            </w:pPr>
            <w:r>
              <w:rPr>
                <w:szCs w:val="24"/>
              </w:rPr>
              <w:t>职务</w:t>
            </w:r>
          </w:p>
        </w:tc>
        <w:tc>
          <w:tcPr>
            <w:tcW w:w="607" w:type="dxa"/>
          </w:tcPr>
          <w:p>
            <w:pPr>
              <w:spacing w:line="400" w:lineRule="exac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1873" w:hRule="atLeast"/>
        </w:trPr>
        <w:tc>
          <w:tcPr>
            <w:tcW w:w="723" w:type="dxa"/>
            <w:vAlign w:val="center"/>
          </w:tcPr>
          <w:p>
            <w:pPr>
              <w:spacing w:line="400" w:lineRule="exact"/>
              <w:jc w:val="center"/>
              <w:rPr>
                <w:szCs w:val="24"/>
              </w:rPr>
            </w:pPr>
            <w:r>
              <w:rPr>
                <w:szCs w:val="24"/>
              </w:rPr>
              <w:t>一、单</w:t>
            </w:r>
          </w:p>
          <w:p>
            <w:pPr>
              <w:spacing w:line="400" w:lineRule="exact"/>
              <w:jc w:val="center"/>
              <w:rPr>
                <w:szCs w:val="24"/>
              </w:rPr>
            </w:pPr>
            <w:r>
              <w:rPr>
                <w:szCs w:val="24"/>
              </w:rPr>
              <w:t>位简历</w:t>
            </w:r>
          </w:p>
          <w:p>
            <w:pPr>
              <w:spacing w:line="400" w:lineRule="exact"/>
              <w:jc w:val="center"/>
              <w:rPr>
                <w:szCs w:val="24"/>
              </w:rPr>
            </w:pPr>
            <w:r>
              <w:rPr>
                <w:szCs w:val="24"/>
              </w:rPr>
              <w:t>及机构</w:t>
            </w:r>
          </w:p>
        </w:tc>
        <w:tc>
          <w:tcPr>
            <w:tcW w:w="4041" w:type="dxa"/>
            <w:gridSpan w:val="13"/>
            <w:vAlign w:val="center"/>
          </w:tcPr>
          <w:p>
            <w:pPr>
              <w:spacing w:line="400" w:lineRule="exact"/>
              <w:jc w:val="center"/>
              <w:rPr>
                <w:szCs w:val="24"/>
              </w:rPr>
            </w:pPr>
          </w:p>
          <w:p>
            <w:pPr>
              <w:spacing w:line="400" w:lineRule="exact"/>
              <w:jc w:val="center"/>
              <w:rPr>
                <w:szCs w:val="24"/>
              </w:rPr>
            </w:pPr>
          </w:p>
          <w:p>
            <w:pPr>
              <w:spacing w:line="400" w:lineRule="exact"/>
              <w:jc w:val="center"/>
            </w:pPr>
          </w:p>
        </w:tc>
        <w:tc>
          <w:tcPr>
            <w:tcW w:w="639" w:type="dxa"/>
            <w:gridSpan w:val="2"/>
            <w:vAlign w:val="center"/>
          </w:tcPr>
          <w:p>
            <w:pPr>
              <w:spacing w:line="400" w:lineRule="exact"/>
              <w:jc w:val="center"/>
              <w:rPr>
                <w:szCs w:val="24"/>
              </w:rPr>
            </w:pPr>
            <w:r>
              <w:rPr>
                <w:szCs w:val="24"/>
              </w:rPr>
              <w:t>单位优</w:t>
            </w:r>
          </w:p>
          <w:p>
            <w:pPr>
              <w:spacing w:line="400" w:lineRule="exact"/>
              <w:jc w:val="center"/>
              <w:rPr>
                <w:szCs w:val="24"/>
              </w:rPr>
            </w:pPr>
            <w:r>
              <w:rPr>
                <w:szCs w:val="24"/>
              </w:rPr>
              <w:t>势及特</w:t>
            </w:r>
          </w:p>
          <w:p>
            <w:pPr>
              <w:spacing w:line="400" w:lineRule="exact"/>
              <w:jc w:val="center"/>
              <w:rPr>
                <w:szCs w:val="24"/>
              </w:rPr>
            </w:pPr>
            <w:r>
              <w:rPr>
                <w:szCs w:val="24"/>
              </w:rPr>
              <w:t>长</w:t>
            </w:r>
          </w:p>
        </w:tc>
        <w:tc>
          <w:tcPr>
            <w:tcW w:w="4122" w:type="dxa"/>
            <w:gridSpan w:val="11"/>
            <w:vAlign w:val="center"/>
          </w:tcPr>
          <w:p>
            <w:pPr>
              <w:spacing w:line="400" w:lineRule="exact"/>
              <w:jc w:val="center"/>
              <w:rPr>
                <w:szCs w:val="24"/>
              </w:rPr>
            </w:pPr>
          </w:p>
          <w:p>
            <w:pPr>
              <w:spacing w:line="400" w:lineRule="exact"/>
              <w:jc w:val="center"/>
              <w:rPr>
                <w:szCs w:val="24"/>
              </w:rPr>
            </w:pPr>
          </w:p>
          <w:p>
            <w:pPr>
              <w:spacing w:line="400" w:lineRule="exact"/>
              <w:jc w:val="center"/>
              <w:rPr>
                <w:szCs w:val="24"/>
              </w:rPr>
            </w:pPr>
          </w:p>
          <w:p>
            <w:pPr>
              <w:spacing w:line="400" w:lineRule="exact"/>
              <w:jc w:val="center"/>
              <w:rPr>
                <w:szCs w:val="24"/>
              </w:rPr>
            </w:pPr>
          </w:p>
          <w:p>
            <w:pPr>
              <w:spacing w:line="40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restart"/>
            <w:vAlign w:val="center"/>
          </w:tcPr>
          <w:p>
            <w:pPr>
              <w:spacing w:line="400" w:lineRule="exact"/>
              <w:jc w:val="center"/>
              <w:rPr>
                <w:szCs w:val="24"/>
              </w:rPr>
            </w:pPr>
          </w:p>
          <w:p>
            <w:pPr>
              <w:spacing w:line="400" w:lineRule="exact"/>
              <w:jc w:val="center"/>
              <w:rPr>
                <w:szCs w:val="24"/>
              </w:rPr>
            </w:pPr>
            <w:r>
              <w:rPr>
                <w:szCs w:val="24"/>
              </w:rPr>
              <w:t>二、单</w:t>
            </w:r>
          </w:p>
          <w:p>
            <w:pPr>
              <w:spacing w:line="400" w:lineRule="exact"/>
              <w:jc w:val="center"/>
              <w:rPr>
                <w:szCs w:val="24"/>
              </w:rPr>
            </w:pPr>
            <w:r>
              <w:rPr>
                <w:szCs w:val="24"/>
              </w:rPr>
              <w:t>位概况</w:t>
            </w:r>
          </w:p>
        </w:tc>
        <w:tc>
          <w:tcPr>
            <w:tcW w:w="500" w:type="dxa"/>
            <w:vMerge w:val="restart"/>
            <w:vAlign w:val="center"/>
          </w:tcPr>
          <w:p>
            <w:pPr>
              <w:spacing w:line="400" w:lineRule="exact"/>
              <w:jc w:val="center"/>
              <w:rPr>
                <w:szCs w:val="24"/>
              </w:rPr>
            </w:pPr>
            <w:r>
              <w:rPr>
                <w:szCs w:val="24"/>
              </w:rPr>
              <w:t>职工</w:t>
            </w:r>
          </w:p>
          <w:p>
            <w:pPr>
              <w:spacing w:line="400" w:lineRule="exact"/>
              <w:jc w:val="center"/>
              <w:rPr>
                <w:szCs w:val="24"/>
              </w:rPr>
            </w:pPr>
            <w:r>
              <w:rPr>
                <w:szCs w:val="24"/>
              </w:rPr>
              <w:t>总数</w:t>
            </w:r>
          </w:p>
        </w:tc>
        <w:tc>
          <w:tcPr>
            <w:tcW w:w="1303" w:type="dxa"/>
            <w:gridSpan w:val="4"/>
            <w:vMerge w:val="restart"/>
          </w:tcPr>
          <w:p>
            <w:pPr>
              <w:spacing w:line="400" w:lineRule="exact"/>
              <w:rPr>
                <w:position w:val="-28"/>
                <w:szCs w:val="24"/>
              </w:rPr>
            </w:pPr>
          </w:p>
          <w:p>
            <w:pPr>
              <w:spacing w:line="400" w:lineRule="exact"/>
              <w:rPr>
                <w:szCs w:val="24"/>
              </w:rPr>
            </w:pPr>
          </w:p>
        </w:tc>
        <w:tc>
          <w:tcPr>
            <w:tcW w:w="2238" w:type="dxa"/>
            <w:gridSpan w:val="8"/>
            <w:vMerge w:val="restart"/>
            <w:vAlign w:val="center"/>
          </w:tcPr>
          <w:p>
            <w:pPr>
              <w:spacing w:line="400" w:lineRule="exact"/>
              <w:rPr>
                <w:szCs w:val="24"/>
              </w:rPr>
            </w:pPr>
            <w:r>
              <w:rPr>
                <w:szCs w:val="24"/>
              </w:rPr>
              <w:t>生产工人人</w:t>
            </w:r>
          </w:p>
          <w:p>
            <w:pPr>
              <w:spacing w:line="400" w:lineRule="exact"/>
              <w:rPr>
                <w:szCs w:val="24"/>
              </w:rPr>
            </w:pPr>
            <w:r>
              <w:rPr>
                <w:szCs w:val="24"/>
              </w:rPr>
              <w:t>工程技术人员人</w:t>
            </w:r>
          </w:p>
        </w:tc>
        <w:tc>
          <w:tcPr>
            <w:tcW w:w="639" w:type="dxa"/>
            <w:gridSpan w:val="2"/>
            <w:vMerge w:val="restart"/>
            <w:vAlign w:val="center"/>
          </w:tcPr>
          <w:p>
            <w:pPr>
              <w:spacing w:line="400" w:lineRule="exact"/>
              <w:jc w:val="center"/>
              <w:rPr>
                <w:szCs w:val="24"/>
              </w:rPr>
            </w:pPr>
            <w:r>
              <w:rPr>
                <w:szCs w:val="24"/>
              </w:rPr>
              <w:t>上一年</w:t>
            </w:r>
          </w:p>
        </w:tc>
        <w:tc>
          <w:tcPr>
            <w:tcW w:w="999" w:type="dxa"/>
            <w:gridSpan w:val="4"/>
            <w:vAlign w:val="center"/>
          </w:tcPr>
          <w:p>
            <w:pPr>
              <w:spacing w:line="400" w:lineRule="exact"/>
              <w:jc w:val="center"/>
              <w:rPr>
                <w:szCs w:val="24"/>
              </w:rPr>
            </w:pPr>
            <w:r>
              <w:rPr>
                <w:szCs w:val="24"/>
              </w:rPr>
              <w:t>指标名称</w:t>
            </w:r>
          </w:p>
        </w:tc>
        <w:tc>
          <w:tcPr>
            <w:tcW w:w="1028" w:type="dxa"/>
            <w:gridSpan w:val="2"/>
            <w:vAlign w:val="center"/>
          </w:tcPr>
          <w:p>
            <w:pPr>
              <w:spacing w:line="400" w:lineRule="exact"/>
              <w:jc w:val="center"/>
              <w:rPr>
                <w:szCs w:val="24"/>
              </w:rPr>
            </w:pPr>
            <w:r>
              <w:rPr>
                <w:szCs w:val="24"/>
              </w:rPr>
              <w:t>计算单位</w:t>
            </w:r>
          </w:p>
        </w:tc>
        <w:tc>
          <w:tcPr>
            <w:tcW w:w="2095" w:type="dxa"/>
            <w:gridSpan w:val="5"/>
            <w:vAlign w:val="center"/>
          </w:tcPr>
          <w:p>
            <w:pPr>
              <w:spacing w:line="400" w:lineRule="exact"/>
              <w:jc w:val="center"/>
              <w:rPr>
                <w:szCs w:val="24"/>
              </w:rPr>
            </w:pPr>
            <w:r>
              <w:rPr>
                <w:szCs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spacing w:line="400" w:lineRule="exact"/>
              <w:jc w:val="center"/>
              <w:rPr>
                <w:szCs w:val="24"/>
              </w:rPr>
            </w:pPr>
          </w:p>
        </w:tc>
        <w:tc>
          <w:tcPr>
            <w:tcW w:w="500" w:type="dxa"/>
            <w:vMerge w:val="continue"/>
            <w:vAlign w:val="center"/>
          </w:tcPr>
          <w:p>
            <w:pPr>
              <w:spacing w:line="400" w:lineRule="exact"/>
              <w:jc w:val="center"/>
              <w:rPr>
                <w:szCs w:val="24"/>
              </w:rPr>
            </w:pPr>
          </w:p>
        </w:tc>
        <w:tc>
          <w:tcPr>
            <w:tcW w:w="1303" w:type="dxa"/>
            <w:gridSpan w:val="4"/>
            <w:vMerge w:val="continue"/>
          </w:tcPr>
          <w:p>
            <w:pPr>
              <w:spacing w:line="400" w:lineRule="exact"/>
              <w:rPr>
                <w:szCs w:val="24"/>
              </w:rPr>
            </w:pPr>
          </w:p>
        </w:tc>
        <w:tc>
          <w:tcPr>
            <w:tcW w:w="2238" w:type="dxa"/>
            <w:gridSpan w:val="8"/>
            <w:vMerge w:val="continue"/>
          </w:tcPr>
          <w:p>
            <w:pPr>
              <w:spacing w:line="400" w:lineRule="exact"/>
              <w:rPr>
                <w:szCs w:val="24"/>
              </w:rPr>
            </w:pPr>
          </w:p>
        </w:tc>
        <w:tc>
          <w:tcPr>
            <w:tcW w:w="639" w:type="dxa"/>
            <w:gridSpan w:val="2"/>
            <w:vMerge w:val="continue"/>
          </w:tcPr>
          <w:p>
            <w:pPr>
              <w:spacing w:line="400" w:lineRule="exact"/>
              <w:rPr>
                <w:szCs w:val="24"/>
              </w:rPr>
            </w:pPr>
          </w:p>
        </w:tc>
        <w:tc>
          <w:tcPr>
            <w:tcW w:w="999" w:type="dxa"/>
            <w:gridSpan w:val="4"/>
            <w:vAlign w:val="center"/>
          </w:tcPr>
          <w:p>
            <w:pPr>
              <w:spacing w:line="400" w:lineRule="exact"/>
              <w:jc w:val="center"/>
              <w:rPr>
                <w:szCs w:val="24"/>
              </w:rPr>
            </w:pPr>
            <w:r>
              <w:rPr>
                <w:szCs w:val="24"/>
              </w:rPr>
              <w:t>工业总产值</w:t>
            </w:r>
          </w:p>
        </w:tc>
        <w:tc>
          <w:tcPr>
            <w:tcW w:w="1028" w:type="dxa"/>
            <w:gridSpan w:val="2"/>
            <w:vAlign w:val="center"/>
          </w:tcPr>
          <w:p>
            <w:pPr>
              <w:spacing w:line="400" w:lineRule="exact"/>
              <w:jc w:val="center"/>
              <w:rPr>
                <w:szCs w:val="24"/>
              </w:rPr>
            </w:pPr>
            <w:r>
              <w:rPr>
                <w:szCs w:val="24"/>
              </w:rPr>
              <w:t>万元</w:t>
            </w:r>
          </w:p>
        </w:tc>
        <w:tc>
          <w:tcPr>
            <w:tcW w:w="2095" w:type="dxa"/>
            <w:gridSpan w:val="5"/>
            <w:vAlign w:val="center"/>
          </w:tcPr>
          <w:p>
            <w:pPr>
              <w:spacing w:line="400" w:lineRule="exac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spacing w:line="400" w:lineRule="exact"/>
              <w:jc w:val="center"/>
              <w:rPr>
                <w:szCs w:val="24"/>
              </w:rPr>
            </w:pPr>
          </w:p>
        </w:tc>
        <w:tc>
          <w:tcPr>
            <w:tcW w:w="500" w:type="dxa"/>
            <w:vMerge w:val="restart"/>
            <w:vAlign w:val="center"/>
          </w:tcPr>
          <w:p>
            <w:pPr>
              <w:spacing w:line="400" w:lineRule="exact"/>
              <w:jc w:val="center"/>
              <w:rPr>
                <w:szCs w:val="24"/>
              </w:rPr>
            </w:pPr>
            <w:r>
              <w:rPr>
                <w:szCs w:val="24"/>
              </w:rPr>
              <w:t>流动</w:t>
            </w:r>
          </w:p>
          <w:p>
            <w:pPr>
              <w:spacing w:line="400" w:lineRule="exact"/>
              <w:jc w:val="center"/>
              <w:rPr>
                <w:szCs w:val="24"/>
              </w:rPr>
            </w:pPr>
            <w:r>
              <w:rPr>
                <w:szCs w:val="24"/>
              </w:rPr>
              <w:t>资金</w:t>
            </w:r>
          </w:p>
        </w:tc>
        <w:tc>
          <w:tcPr>
            <w:tcW w:w="1303" w:type="dxa"/>
            <w:gridSpan w:val="4"/>
            <w:vMerge w:val="restart"/>
          </w:tcPr>
          <w:p>
            <w:pPr>
              <w:spacing w:line="400" w:lineRule="exact"/>
              <w:rPr>
                <w:position w:val="-30"/>
                <w:szCs w:val="24"/>
              </w:rPr>
            </w:pPr>
            <w:r>
              <w:rPr>
                <w:position w:val="-30"/>
                <w:szCs w:val="24"/>
              </w:rPr>
              <w:t>万元</w:t>
            </w:r>
          </w:p>
        </w:tc>
        <w:tc>
          <w:tcPr>
            <w:tcW w:w="441" w:type="dxa"/>
            <w:gridSpan w:val="3"/>
            <w:vMerge w:val="restart"/>
            <w:vAlign w:val="center"/>
          </w:tcPr>
          <w:p>
            <w:pPr>
              <w:spacing w:line="400" w:lineRule="exact"/>
              <w:jc w:val="center"/>
              <w:rPr>
                <w:szCs w:val="24"/>
              </w:rPr>
            </w:pPr>
            <w:r>
              <w:rPr>
                <w:szCs w:val="24"/>
              </w:rPr>
              <w:t>资金</w:t>
            </w:r>
          </w:p>
          <w:p>
            <w:pPr>
              <w:spacing w:line="400" w:lineRule="exact"/>
              <w:jc w:val="center"/>
              <w:rPr>
                <w:szCs w:val="24"/>
              </w:rPr>
            </w:pPr>
            <w:r>
              <w:rPr>
                <w:szCs w:val="24"/>
              </w:rPr>
              <w:t>来源</w:t>
            </w:r>
          </w:p>
        </w:tc>
        <w:tc>
          <w:tcPr>
            <w:tcW w:w="665" w:type="dxa"/>
            <w:gridSpan w:val="3"/>
            <w:vAlign w:val="center"/>
          </w:tcPr>
          <w:p>
            <w:pPr>
              <w:spacing w:line="400" w:lineRule="exact"/>
              <w:jc w:val="center"/>
              <w:rPr>
                <w:szCs w:val="24"/>
              </w:rPr>
            </w:pPr>
            <w:r>
              <w:rPr>
                <w:szCs w:val="24"/>
              </w:rPr>
              <w:t>自有</w:t>
            </w:r>
          </w:p>
          <w:p>
            <w:pPr>
              <w:spacing w:line="400" w:lineRule="exact"/>
              <w:jc w:val="center"/>
              <w:rPr>
                <w:szCs w:val="24"/>
              </w:rPr>
            </w:pPr>
            <w:r>
              <w:rPr>
                <w:szCs w:val="24"/>
              </w:rPr>
              <w:t>资金</w:t>
            </w:r>
          </w:p>
        </w:tc>
        <w:tc>
          <w:tcPr>
            <w:tcW w:w="1132" w:type="dxa"/>
            <w:gridSpan w:val="2"/>
            <w:vAlign w:val="center"/>
          </w:tcPr>
          <w:p>
            <w:pPr>
              <w:spacing w:line="400" w:lineRule="exact"/>
              <w:jc w:val="right"/>
              <w:rPr>
                <w:szCs w:val="24"/>
              </w:rPr>
            </w:pPr>
            <w:r>
              <w:rPr>
                <w:szCs w:val="24"/>
              </w:rPr>
              <w:t>万元</w:t>
            </w:r>
          </w:p>
        </w:tc>
        <w:tc>
          <w:tcPr>
            <w:tcW w:w="639" w:type="dxa"/>
            <w:gridSpan w:val="2"/>
            <w:vMerge w:val="restart"/>
            <w:vAlign w:val="center"/>
          </w:tcPr>
          <w:p>
            <w:pPr>
              <w:spacing w:line="400" w:lineRule="exact"/>
              <w:jc w:val="center"/>
              <w:rPr>
                <w:szCs w:val="24"/>
              </w:rPr>
            </w:pPr>
            <w:r>
              <w:rPr>
                <w:szCs w:val="24"/>
              </w:rPr>
              <w:t>主要经</w:t>
            </w:r>
          </w:p>
          <w:p>
            <w:pPr>
              <w:spacing w:line="400" w:lineRule="exact"/>
              <w:jc w:val="center"/>
              <w:rPr>
                <w:szCs w:val="24"/>
              </w:rPr>
            </w:pPr>
            <w:r>
              <w:rPr>
                <w:szCs w:val="24"/>
              </w:rPr>
              <w:t>济指标</w:t>
            </w:r>
          </w:p>
        </w:tc>
        <w:tc>
          <w:tcPr>
            <w:tcW w:w="999" w:type="dxa"/>
            <w:gridSpan w:val="4"/>
            <w:vAlign w:val="center"/>
          </w:tcPr>
          <w:p>
            <w:pPr>
              <w:spacing w:line="400" w:lineRule="exact"/>
              <w:jc w:val="center"/>
              <w:rPr>
                <w:szCs w:val="24"/>
              </w:rPr>
            </w:pPr>
            <w:r>
              <w:rPr>
                <w:szCs w:val="24"/>
              </w:rPr>
              <w:t>实现利润</w:t>
            </w:r>
          </w:p>
        </w:tc>
        <w:tc>
          <w:tcPr>
            <w:tcW w:w="1028" w:type="dxa"/>
            <w:gridSpan w:val="2"/>
            <w:vAlign w:val="center"/>
          </w:tcPr>
          <w:p>
            <w:pPr>
              <w:spacing w:line="400" w:lineRule="exact"/>
              <w:ind w:firstLine="210" w:firstLineChars="100"/>
              <w:jc w:val="left"/>
              <w:rPr>
                <w:szCs w:val="24"/>
              </w:rPr>
            </w:pPr>
            <w:r>
              <w:rPr>
                <w:szCs w:val="24"/>
              </w:rPr>
              <w:t>万元</w:t>
            </w:r>
          </w:p>
        </w:tc>
        <w:tc>
          <w:tcPr>
            <w:tcW w:w="2095" w:type="dxa"/>
            <w:gridSpan w:val="5"/>
            <w:vAlign w:val="center"/>
          </w:tcPr>
          <w:p>
            <w:pPr>
              <w:spacing w:line="400" w:lineRule="exac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spacing w:line="400" w:lineRule="exact"/>
              <w:jc w:val="center"/>
              <w:rPr>
                <w:szCs w:val="24"/>
              </w:rPr>
            </w:pPr>
          </w:p>
        </w:tc>
        <w:tc>
          <w:tcPr>
            <w:tcW w:w="500" w:type="dxa"/>
            <w:vMerge w:val="continue"/>
            <w:vAlign w:val="center"/>
          </w:tcPr>
          <w:p>
            <w:pPr>
              <w:spacing w:line="400" w:lineRule="exact"/>
              <w:jc w:val="center"/>
              <w:rPr>
                <w:szCs w:val="24"/>
              </w:rPr>
            </w:pPr>
          </w:p>
        </w:tc>
        <w:tc>
          <w:tcPr>
            <w:tcW w:w="1303" w:type="dxa"/>
            <w:gridSpan w:val="4"/>
            <w:vMerge w:val="continue"/>
          </w:tcPr>
          <w:p>
            <w:pPr>
              <w:spacing w:line="400" w:lineRule="exact"/>
              <w:rPr>
                <w:szCs w:val="24"/>
              </w:rPr>
            </w:pPr>
          </w:p>
        </w:tc>
        <w:tc>
          <w:tcPr>
            <w:tcW w:w="441" w:type="dxa"/>
            <w:gridSpan w:val="3"/>
            <w:vMerge w:val="continue"/>
            <w:vAlign w:val="center"/>
          </w:tcPr>
          <w:p>
            <w:pPr>
              <w:spacing w:line="400" w:lineRule="exact"/>
              <w:jc w:val="center"/>
              <w:rPr>
                <w:szCs w:val="24"/>
              </w:rPr>
            </w:pPr>
          </w:p>
        </w:tc>
        <w:tc>
          <w:tcPr>
            <w:tcW w:w="665" w:type="dxa"/>
            <w:gridSpan w:val="3"/>
            <w:vAlign w:val="center"/>
          </w:tcPr>
          <w:p>
            <w:pPr>
              <w:spacing w:line="400" w:lineRule="exact"/>
              <w:jc w:val="center"/>
              <w:rPr>
                <w:szCs w:val="24"/>
              </w:rPr>
            </w:pPr>
            <w:r>
              <w:rPr>
                <w:szCs w:val="24"/>
              </w:rPr>
              <w:t>银行</w:t>
            </w:r>
          </w:p>
          <w:p>
            <w:pPr>
              <w:spacing w:line="400" w:lineRule="exact"/>
              <w:jc w:val="center"/>
              <w:rPr>
                <w:szCs w:val="24"/>
              </w:rPr>
            </w:pPr>
            <w:r>
              <w:rPr>
                <w:szCs w:val="24"/>
              </w:rPr>
              <w:t>贷款</w:t>
            </w:r>
          </w:p>
        </w:tc>
        <w:tc>
          <w:tcPr>
            <w:tcW w:w="1132" w:type="dxa"/>
            <w:gridSpan w:val="2"/>
            <w:vAlign w:val="center"/>
          </w:tcPr>
          <w:p>
            <w:pPr>
              <w:spacing w:line="400" w:lineRule="exact"/>
              <w:jc w:val="right"/>
              <w:rPr>
                <w:szCs w:val="24"/>
              </w:rPr>
            </w:pPr>
            <w:r>
              <w:rPr>
                <w:szCs w:val="24"/>
              </w:rPr>
              <w:t>万元</w:t>
            </w:r>
          </w:p>
        </w:tc>
        <w:tc>
          <w:tcPr>
            <w:tcW w:w="639" w:type="dxa"/>
            <w:gridSpan w:val="2"/>
            <w:vMerge w:val="continue"/>
          </w:tcPr>
          <w:p>
            <w:pPr>
              <w:spacing w:line="400" w:lineRule="exact"/>
              <w:rPr>
                <w:szCs w:val="24"/>
              </w:rPr>
            </w:pPr>
          </w:p>
        </w:tc>
        <w:tc>
          <w:tcPr>
            <w:tcW w:w="613" w:type="dxa"/>
            <w:gridSpan w:val="2"/>
            <w:vMerge w:val="restart"/>
            <w:vAlign w:val="center"/>
          </w:tcPr>
          <w:p>
            <w:pPr>
              <w:spacing w:line="400" w:lineRule="exact"/>
              <w:jc w:val="center"/>
              <w:rPr>
                <w:szCs w:val="24"/>
              </w:rPr>
            </w:pPr>
            <w:r>
              <w:rPr>
                <w:szCs w:val="24"/>
              </w:rPr>
              <w:t>主要</w:t>
            </w:r>
          </w:p>
          <w:p>
            <w:pPr>
              <w:spacing w:line="400" w:lineRule="exact"/>
              <w:jc w:val="center"/>
              <w:rPr>
                <w:szCs w:val="24"/>
              </w:rPr>
            </w:pPr>
          </w:p>
          <w:p>
            <w:pPr>
              <w:spacing w:line="400" w:lineRule="exact"/>
              <w:jc w:val="center"/>
              <w:rPr>
                <w:szCs w:val="24"/>
              </w:rPr>
            </w:pPr>
            <w:r>
              <w:rPr>
                <w:szCs w:val="24"/>
              </w:rPr>
              <w:t>产品</w:t>
            </w:r>
          </w:p>
        </w:tc>
        <w:tc>
          <w:tcPr>
            <w:tcW w:w="3509" w:type="dxa"/>
            <w:gridSpan w:val="9"/>
            <w:vAlign w:val="center"/>
          </w:tcPr>
          <w:p>
            <w:pPr>
              <w:spacing w:line="400" w:lineRule="exact"/>
              <w:rPr>
                <w:szCs w:val="24"/>
              </w:rPr>
            </w:pPr>
            <w:r>
              <w:rPr>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spacing w:line="400" w:lineRule="exact"/>
              <w:jc w:val="center"/>
              <w:rPr>
                <w:szCs w:val="24"/>
              </w:rPr>
            </w:pPr>
          </w:p>
        </w:tc>
        <w:tc>
          <w:tcPr>
            <w:tcW w:w="500" w:type="dxa"/>
            <w:vMerge w:val="restart"/>
            <w:vAlign w:val="center"/>
          </w:tcPr>
          <w:p>
            <w:pPr>
              <w:spacing w:line="400" w:lineRule="exact"/>
              <w:jc w:val="center"/>
              <w:rPr>
                <w:szCs w:val="24"/>
              </w:rPr>
            </w:pPr>
            <w:r>
              <w:rPr>
                <w:szCs w:val="24"/>
              </w:rPr>
              <w:t>固定</w:t>
            </w:r>
          </w:p>
          <w:p>
            <w:pPr>
              <w:spacing w:line="400" w:lineRule="exact"/>
              <w:jc w:val="center"/>
              <w:rPr>
                <w:szCs w:val="24"/>
              </w:rPr>
            </w:pPr>
            <w:r>
              <w:rPr>
                <w:szCs w:val="24"/>
              </w:rPr>
              <w:t>资产</w:t>
            </w:r>
          </w:p>
        </w:tc>
        <w:tc>
          <w:tcPr>
            <w:tcW w:w="1303" w:type="dxa"/>
            <w:gridSpan w:val="4"/>
            <w:vMerge w:val="restart"/>
            <w:vAlign w:val="center"/>
          </w:tcPr>
          <w:p>
            <w:pPr>
              <w:spacing w:line="400" w:lineRule="exact"/>
              <w:ind w:left="420" w:hanging="420" w:hangingChars="200"/>
              <w:jc w:val="left"/>
              <w:rPr>
                <w:szCs w:val="24"/>
              </w:rPr>
            </w:pPr>
            <w:r>
              <w:rPr>
                <w:szCs w:val="24"/>
              </w:rPr>
              <w:t>原值万元</w:t>
            </w:r>
          </w:p>
          <w:p>
            <w:pPr>
              <w:spacing w:line="400" w:lineRule="exact"/>
              <w:ind w:left="420" w:hanging="420" w:hangingChars="200"/>
              <w:jc w:val="left"/>
              <w:rPr>
                <w:szCs w:val="24"/>
              </w:rPr>
            </w:pPr>
            <w:r>
              <w:rPr>
                <w:szCs w:val="24"/>
              </w:rPr>
              <w:t>净值万元</w:t>
            </w:r>
          </w:p>
        </w:tc>
        <w:tc>
          <w:tcPr>
            <w:tcW w:w="441" w:type="dxa"/>
            <w:gridSpan w:val="3"/>
            <w:vMerge w:val="restart"/>
            <w:vAlign w:val="center"/>
          </w:tcPr>
          <w:p>
            <w:pPr>
              <w:spacing w:line="400" w:lineRule="exact"/>
              <w:jc w:val="center"/>
              <w:rPr>
                <w:szCs w:val="24"/>
              </w:rPr>
            </w:pPr>
            <w:r>
              <w:rPr>
                <w:szCs w:val="24"/>
              </w:rPr>
              <w:t>资金</w:t>
            </w:r>
          </w:p>
          <w:p>
            <w:pPr>
              <w:spacing w:line="400" w:lineRule="exact"/>
              <w:jc w:val="center"/>
              <w:rPr>
                <w:szCs w:val="24"/>
              </w:rPr>
            </w:pPr>
            <w:r>
              <w:rPr>
                <w:szCs w:val="24"/>
              </w:rPr>
              <w:t>性质</w:t>
            </w:r>
          </w:p>
        </w:tc>
        <w:tc>
          <w:tcPr>
            <w:tcW w:w="665" w:type="dxa"/>
            <w:gridSpan w:val="3"/>
            <w:vAlign w:val="center"/>
          </w:tcPr>
          <w:p>
            <w:pPr>
              <w:spacing w:line="400" w:lineRule="exact"/>
              <w:jc w:val="center"/>
              <w:rPr>
                <w:szCs w:val="24"/>
              </w:rPr>
            </w:pPr>
            <w:r>
              <w:rPr>
                <w:szCs w:val="24"/>
              </w:rPr>
              <w:t>生产性</w:t>
            </w:r>
          </w:p>
        </w:tc>
        <w:tc>
          <w:tcPr>
            <w:tcW w:w="1132" w:type="dxa"/>
            <w:gridSpan w:val="2"/>
            <w:vAlign w:val="center"/>
          </w:tcPr>
          <w:p>
            <w:pPr>
              <w:spacing w:line="400" w:lineRule="exact"/>
              <w:jc w:val="right"/>
              <w:rPr>
                <w:szCs w:val="24"/>
              </w:rPr>
            </w:pPr>
            <w:r>
              <w:rPr>
                <w:szCs w:val="24"/>
              </w:rPr>
              <w:t>万元</w:t>
            </w:r>
          </w:p>
        </w:tc>
        <w:tc>
          <w:tcPr>
            <w:tcW w:w="639" w:type="dxa"/>
            <w:gridSpan w:val="2"/>
            <w:vMerge w:val="restart"/>
          </w:tcPr>
          <w:p>
            <w:pPr>
              <w:spacing w:line="400" w:lineRule="exact"/>
              <w:rPr>
                <w:szCs w:val="24"/>
              </w:rPr>
            </w:pPr>
          </w:p>
        </w:tc>
        <w:tc>
          <w:tcPr>
            <w:tcW w:w="613" w:type="dxa"/>
            <w:gridSpan w:val="2"/>
            <w:vMerge w:val="continue"/>
            <w:vAlign w:val="center"/>
          </w:tcPr>
          <w:p>
            <w:pPr>
              <w:spacing w:line="400" w:lineRule="exact"/>
              <w:jc w:val="center"/>
              <w:rPr>
                <w:szCs w:val="24"/>
              </w:rPr>
            </w:pPr>
          </w:p>
        </w:tc>
        <w:tc>
          <w:tcPr>
            <w:tcW w:w="3509" w:type="dxa"/>
            <w:gridSpan w:val="9"/>
            <w:vAlign w:val="center"/>
          </w:tcPr>
          <w:p>
            <w:pPr>
              <w:spacing w:line="400" w:lineRule="exact"/>
              <w:rPr>
                <w:szCs w:val="24"/>
              </w:rPr>
            </w:pPr>
            <w:r>
              <w:rPr>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spacing w:line="400" w:lineRule="exact"/>
              <w:jc w:val="center"/>
              <w:rPr>
                <w:szCs w:val="24"/>
              </w:rPr>
            </w:pPr>
          </w:p>
        </w:tc>
        <w:tc>
          <w:tcPr>
            <w:tcW w:w="500" w:type="dxa"/>
            <w:vMerge w:val="continue"/>
            <w:vAlign w:val="center"/>
          </w:tcPr>
          <w:p>
            <w:pPr>
              <w:spacing w:line="400" w:lineRule="exact"/>
              <w:jc w:val="center"/>
              <w:rPr>
                <w:szCs w:val="24"/>
              </w:rPr>
            </w:pPr>
          </w:p>
        </w:tc>
        <w:tc>
          <w:tcPr>
            <w:tcW w:w="1303" w:type="dxa"/>
            <w:gridSpan w:val="4"/>
            <w:vMerge w:val="continue"/>
          </w:tcPr>
          <w:p>
            <w:pPr>
              <w:spacing w:line="400" w:lineRule="exact"/>
              <w:rPr>
                <w:szCs w:val="24"/>
              </w:rPr>
            </w:pPr>
          </w:p>
        </w:tc>
        <w:tc>
          <w:tcPr>
            <w:tcW w:w="441" w:type="dxa"/>
            <w:gridSpan w:val="3"/>
            <w:vMerge w:val="continue"/>
          </w:tcPr>
          <w:p>
            <w:pPr>
              <w:spacing w:line="400" w:lineRule="exact"/>
              <w:rPr>
                <w:szCs w:val="24"/>
              </w:rPr>
            </w:pPr>
          </w:p>
        </w:tc>
        <w:tc>
          <w:tcPr>
            <w:tcW w:w="665" w:type="dxa"/>
            <w:gridSpan w:val="3"/>
            <w:vAlign w:val="center"/>
          </w:tcPr>
          <w:p>
            <w:pPr>
              <w:spacing w:line="400" w:lineRule="exact"/>
              <w:jc w:val="center"/>
              <w:rPr>
                <w:szCs w:val="24"/>
              </w:rPr>
            </w:pPr>
            <w:r>
              <w:rPr>
                <w:szCs w:val="24"/>
              </w:rPr>
              <w:t>非生</w:t>
            </w:r>
          </w:p>
          <w:p>
            <w:pPr>
              <w:spacing w:line="400" w:lineRule="exact"/>
              <w:jc w:val="center"/>
              <w:rPr>
                <w:szCs w:val="24"/>
              </w:rPr>
            </w:pPr>
            <w:r>
              <w:rPr>
                <w:szCs w:val="24"/>
              </w:rPr>
              <w:t>产性</w:t>
            </w:r>
          </w:p>
        </w:tc>
        <w:tc>
          <w:tcPr>
            <w:tcW w:w="1132" w:type="dxa"/>
            <w:gridSpan w:val="2"/>
            <w:vAlign w:val="center"/>
          </w:tcPr>
          <w:p>
            <w:pPr>
              <w:spacing w:line="400" w:lineRule="exact"/>
              <w:jc w:val="right"/>
              <w:rPr>
                <w:szCs w:val="24"/>
              </w:rPr>
            </w:pPr>
            <w:r>
              <w:rPr>
                <w:szCs w:val="24"/>
              </w:rPr>
              <w:t>万元</w:t>
            </w:r>
          </w:p>
        </w:tc>
        <w:tc>
          <w:tcPr>
            <w:tcW w:w="639" w:type="dxa"/>
            <w:gridSpan w:val="2"/>
            <w:vMerge w:val="continue"/>
          </w:tcPr>
          <w:p>
            <w:pPr>
              <w:spacing w:line="400" w:lineRule="exact"/>
              <w:rPr>
                <w:szCs w:val="24"/>
              </w:rPr>
            </w:pPr>
          </w:p>
        </w:tc>
        <w:tc>
          <w:tcPr>
            <w:tcW w:w="613" w:type="dxa"/>
            <w:gridSpan w:val="2"/>
            <w:vMerge w:val="continue"/>
          </w:tcPr>
          <w:p>
            <w:pPr>
              <w:spacing w:line="400" w:lineRule="exact"/>
              <w:rPr>
                <w:szCs w:val="24"/>
              </w:rPr>
            </w:pPr>
          </w:p>
        </w:tc>
        <w:tc>
          <w:tcPr>
            <w:tcW w:w="3509" w:type="dxa"/>
            <w:gridSpan w:val="9"/>
            <w:vAlign w:val="center"/>
          </w:tcPr>
          <w:p>
            <w:pPr>
              <w:spacing w:line="400" w:lineRule="exact"/>
              <w:rPr>
                <w:szCs w:val="24"/>
              </w:rPr>
            </w:pPr>
            <w:r>
              <w:rPr>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spacing w:line="400" w:lineRule="exact"/>
              <w:jc w:val="center"/>
              <w:rPr>
                <w:szCs w:val="24"/>
              </w:rPr>
            </w:pPr>
          </w:p>
        </w:tc>
        <w:tc>
          <w:tcPr>
            <w:tcW w:w="500" w:type="dxa"/>
            <w:vMerge w:val="restart"/>
            <w:vAlign w:val="center"/>
          </w:tcPr>
          <w:p>
            <w:pPr>
              <w:spacing w:line="400" w:lineRule="exact"/>
              <w:jc w:val="center"/>
              <w:rPr>
                <w:szCs w:val="24"/>
              </w:rPr>
            </w:pPr>
            <w:r>
              <w:rPr>
                <w:szCs w:val="24"/>
              </w:rPr>
              <w:t>占地</w:t>
            </w:r>
          </w:p>
          <w:p>
            <w:pPr>
              <w:spacing w:line="400" w:lineRule="exact"/>
              <w:jc w:val="center"/>
              <w:rPr>
                <w:szCs w:val="24"/>
              </w:rPr>
            </w:pPr>
            <w:r>
              <w:rPr>
                <w:szCs w:val="24"/>
              </w:rPr>
              <w:t>面积</w:t>
            </w:r>
          </w:p>
        </w:tc>
        <w:tc>
          <w:tcPr>
            <w:tcW w:w="1303" w:type="dxa"/>
            <w:gridSpan w:val="4"/>
            <w:vMerge w:val="restart"/>
            <w:vAlign w:val="center"/>
          </w:tcPr>
          <w:p>
            <w:pPr>
              <w:spacing w:line="400" w:lineRule="exact"/>
              <w:ind w:right="240"/>
              <w:jc w:val="center"/>
              <w:rPr>
                <w:szCs w:val="24"/>
              </w:rPr>
            </w:pPr>
          </w:p>
          <w:p>
            <w:pPr>
              <w:spacing w:line="400" w:lineRule="exact"/>
              <w:jc w:val="center"/>
              <w:rPr>
                <w:szCs w:val="24"/>
              </w:rPr>
            </w:pPr>
            <w:r>
              <w:rPr>
                <w:szCs w:val="24"/>
              </w:rPr>
              <w:t>平方米</w:t>
            </w:r>
          </w:p>
          <w:p>
            <w:pPr>
              <w:spacing w:line="400" w:lineRule="exact"/>
              <w:jc w:val="center"/>
              <w:rPr>
                <w:szCs w:val="24"/>
              </w:rPr>
            </w:pPr>
          </w:p>
        </w:tc>
        <w:tc>
          <w:tcPr>
            <w:tcW w:w="2238" w:type="dxa"/>
            <w:gridSpan w:val="8"/>
            <w:vAlign w:val="center"/>
          </w:tcPr>
          <w:p>
            <w:pPr>
              <w:spacing w:line="400" w:lineRule="exact"/>
              <w:jc w:val="center"/>
              <w:rPr>
                <w:szCs w:val="24"/>
              </w:rPr>
            </w:pPr>
            <w:r>
              <w:rPr>
                <w:szCs w:val="24"/>
              </w:rPr>
              <w:t>房屋建筑面积平方米</w:t>
            </w:r>
          </w:p>
        </w:tc>
        <w:tc>
          <w:tcPr>
            <w:tcW w:w="639" w:type="dxa"/>
            <w:gridSpan w:val="2"/>
            <w:vMerge w:val="continue"/>
          </w:tcPr>
          <w:p>
            <w:pPr>
              <w:spacing w:line="400" w:lineRule="exact"/>
              <w:rPr>
                <w:szCs w:val="24"/>
              </w:rPr>
            </w:pPr>
          </w:p>
        </w:tc>
        <w:tc>
          <w:tcPr>
            <w:tcW w:w="613" w:type="dxa"/>
            <w:gridSpan w:val="2"/>
            <w:vMerge w:val="continue"/>
          </w:tcPr>
          <w:p>
            <w:pPr>
              <w:spacing w:line="400" w:lineRule="exact"/>
              <w:rPr>
                <w:szCs w:val="24"/>
              </w:rPr>
            </w:pPr>
          </w:p>
        </w:tc>
        <w:tc>
          <w:tcPr>
            <w:tcW w:w="3509" w:type="dxa"/>
            <w:gridSpan w:val="9"/>
            <w:vAlign w:val="center"/>
          </w:tcPr>
          <w:p>
            <w:pPr>
              <w:spacing w:line="400" w:lineRule="exact"/>
              <w:rPr>
                <w:szCs w:val="24"/>
              </w:rPr>
            </w:pPr>
            <w:r>
              <w:rPr>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pPr>
              <w:spacing w:line="400" w:lineRule="exact"/>
              <w:jc w:val="center"/>
              <w:rPr>
                <w:szCs w:val="24"/>
              </w:rPr>
            </w:pPr>
          </w:p>
        </w:tc>
        <w:tc>
          <w:tcPr>
            <w:tcW w:w="500" w:type="dxa"/>
            <w:vMerge w:val="continue"/>
          </w:tcPr>
          <w:p>
            <w:pPr>
              <w:spacing w:line="400" w:lineRule="exact"/>
              <w:rPr>
                <w:szCs w:val="24"/>
              </w:rPr>
            </w:pPr>
          </w:p>
        </w:tc>
        <w:tc>
          <w:tcPr>
            <w:tcW w:w="1303" w:type="dxa"/>
            <w:gridSpan w:val="4"/>
            <w:vMerge w:val="continue"/>
          </w:tcPr>
          <w:p>
            <w:pPr>
              <w:spacing w:line="400" w:lineRule="exact"/>
              <w:rPr>
                <w:szCs w:val="24"/>
              </w:rPr>
            </w:pPr>
          </w:p>
        </w:tc>
        <w:tc>
          <w:tcPr>
            <w:tcW w:w="2238" w:type="dxa"/>
            <w:gridSpan w:val="8"/>
            <w:vAlign w:val="center"/>
          </w:tcPr>
          <w:p>
            <w:pPr>
              <w:spacing w:line="400" w:lineRule="exact"/>
              <w:jc w:val="center"/>
              <w:rPr>
                <w:szCs w:val="24"/>
              </w:rPr>
            </w:pPr>
            <w:r>
              <w:rPr>
                <w:szCs w:val="24"/>
              </w:rPr>
              <w:t>厂房建筑面积平方米</w:t>
            </w:r>
          </w:p>
        </w:tc>
        <w:tc>
          <w:tcPr>
            <w:tcW w:w="639" w:type="dxa"/>
            <w:gridSpan w:val="2"/>
            <w:vMerge w:val="continue"/>
          </w:tcPr>
          <w:p>
            <w:pPr>
              <w:spacing w:line="400" w:lineRule="exact"/>
              <w:rPr>
                <w:szCs w:val="24"/>
              </w:rPr>
            </w:pPr>
          </w:p>
        </w:tc>
        <w:tc>
          <w:tcPr>
            <w:tcW w:w="613" w:type="dxa"/>
            <w:gridSpan w:val="2"/>
            <w:vMerge w:val="continue"/>
          </w:tcPr>
          <w:p>
            <w:pPr>
              <w:spacing w:line="400" w:lineRule="exact"/>
              <w:rPr>
                <w:szCs w:val="24"/>
              </w:rPr>
            </w:pPr>
          </w:p>
        </w:tc>
        <w:tc>
          <w:tcPr>
            <w:tcW w:w="3509" w:type="dxa"/>
            <w:gridSpan w:val="9"/>
            <w:vAlign w:val="center"/>
          </w:tcPr>
          <w:p>
            <w:pPr>
              <w:spacing w:line="400" w:lineRule="exact"/>
              <w:rPr>
                <w:szCs w:val="24"/>
              </w:rPr>
            </w:pPr>
            <w:r>
              <w:rPr>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restart"/>
            <w:vAlign w:val="center"/>
          </w:tcPr>
          <w:p>
            <w:pPr>
              <w:spacing w:line="400" w:lineRule="exact"/>
              <w:jc w:val="center"/>
              <w:rPr>
                <w:szCs w:val="24"/>
              </w:rPr>
            </w:pPr>
            <w:r>
              <w:rPr>
                <w:szCs w:val="24"/>
              </w:rPr>
              <w:t>三、主</w:t>
            </w:r>
          </w:p>
          <w:p>
            <w:pPr>
              <w:spacing w:line="400" w:lineRule="exact"/>
              <w:jc w:val="center"/>
              <w:rPr>
                <w:szCs w:val="24"/>
              </w:rPr>
            </w:pPr>
            <w:r>
              <w:rPr>
                <w:szCs w:val="24"/>
              </w:rPr>
              <w:t>要产品</w:t>
            </w:r>
          </w:p>
          <w:p>
            <w:pPr>
              <w:spacing w:line="400" w:lineRule="exact"/>
              <w:rPr>
                <w:szCs w:val="24"/>
              </w:rPr>
            </w:pPr>
            <w:r>
              <w:rPr>
                <w:szCs w:val="24"/>
              </w:rPr>
              <w:t>情况</w:t>
            </w:r>
          </w:p>
        </w:tc>
        <w:tc>
          <w:tcPr>
            <w:tcW w:w="1152" w:type="dxa"/>
            <w:gridSpan w:val="2"/>
            <w:vAlign w:val="center"/>
          </w:tcPr>
          <w:p>
            <w:pPr>
              <w:spacing w:line="400" w:lineRule="exact"/>
              <w:jc w:val="center"/>
              <w:rPr>
                <w:szCs w:val="24"/>
              </w:rPr>
            </w:pPr>
            <w:r>
              <w:rPr>
                <w:szCs w:val="24"/>
              </w:rPr>
              <w:t>产品名称</w:t>
            </w:r>
          </w:p>
        </w:tc>
        <w:tc>
          <w:tcPr>
            <w:tcW w:w="351" w:type="dxa"/>
            <w:gridSpan w:val="2"/>
            <w:vAlign w:val="center"/>
          </w:tcPr>
          <w:p>
            <w:pPr>
              <w:spacing w:line="400" w:lineRule="exact"/>
              <w:jc w:val="center"/>
              <w:rPr>
                <w:szCs w:val="24"/>
              </w:rPr>
            </w:pPr>
            <w:r>
              <w:rPr>
                <w:szCs w:val="24"/>
              </w:rPr>
              <w:t>型号</w:t>
            </w:r>
          </w:p>
        </w:tc>
        <w:tc>
          <w:tcPr>
            <w:tcW w:w="678" w:type="dxa"/>
            <w:gridSpan w:val="3"/>
            <w:vAlign w:val="center"/>
          </w:tcPr>
          <w:p>
            <w:pPr>
              <w:spacing w:line="400" w:lineRule="exact"/>
              <w:jc w:val="center"/>
              <w:rPr>
                <w:szCs w:val="24"/>
              </w:rPr>
            </w:pPr>
            <w:r>
              <w:rPr>
                <w:szCs w:val="24"/>
              </w:rPr>
              <w:t>上年</w:t>
            </w:r>
          </w:p>
          <w:p>
            <w:pPr>
              <w:spacing w:line="400" w:lineRule="exact"/>
              <w:jc w:val="center"/>
              <w:rPr>
                <w:szCs w:val="24"/>
              </w:rPr>
            </w:pPr>
            <w:r>
              <w:rPr>
                <w:szCs w:val="24"/>
              </w:rPr>
              <w:t>产量</w:t>
            </w:r>
          </w:p>
        </w:tc>
        <w:tc>
          <w:tcPr>
            <w:tcW w:w="570" w:type="dxa"/>
            <w:gridSpan w:val="3"/>
            <w:vAlign w:val="center"/>
          </w:tcPr>
          <w:p>
            <w:pPr>
              <w:spacing w:line="400" w:lineRule="exact"/>
              <w:jc w:val="center"/>
              <w:rPr>
                <w:szCs w:val="24"/>
              </w:rPr>
            </w:pPr>
            <w:r>
              <w:rPr>
                <w:szCs w:val="24"/>
              </w:rPr>
              <w:t>上年</w:t>
            </w:r>
          </w:p>
          <w:p>
            <w:pPr>
              <w:spacing w:line="400" w:lineRule="exact"/>
              <w:jc w:val="center"/>
              <w:rPr>
                <w:szCs w:val="24"/>
              </w:rPr>
            </w:pPr>
            <w:r>
              <w:rPr>
                <w:szCs w:val="24"/>
              </w:rPr>
              <w:t>产值</w:t>
            </w:r>
          </w:p>
        </w:tc>
        <w:tc>
          <w:tcPr>
            <w:tcW w:w="1770" w:type="dxa"/>
            <w:gridSpan w:val="4"/>
            <w:vAlign w:val="center"/>
          </w:tcPr>
          <w:p>
            <w:pPr>
              <w:spacing w:line="400" w:lineRule="exact"/>
              <w:jc w:val="center"/>
              <w:rPr>
                <w:szCs w:val="24"/>
              </w:rPr>
            </w:pPr>
            <w:r>
              <w:rPr>
                <w:szCs w:val="24"/>
              </w:rPr>
              <w:t>产品技术先进水平</w:t>
            </w:r>
          </w:p>
        </w:tc>
        <w:tc>
          <w:tcPr>
            <w:tcW w:w="609" w:type="dxa"/>
            <w:gridSpan w:val="2"/>
            <w:vAlign w:val="center"/>
          </w:tcPr>
          <w:p>
            <w:pPr>
              <w:spacing w:line="400" w:lineRule="exact"/>
              <w:jc w:val="center"/>
              <w:rPr>
                <w:szCs w:val="24"/>
              </w:rPr>
            </w:pPr>
            <w:r>
              <w:rPr>
                <w:szCs w:val="24"/>
              </w:rPr>
              <w:t>优质</w:t>
            </w:r>
          </w:p>
          <w:p>
            <w:pPr>
              <w:spacing w:line="400" w:lineRule="exact"/>
              <w:jc w:val="center"/>
              <w:rPr>
                <w:szCs w:val="24"/>
              </w:rPr>
            </w:pPr>
            <w:r>
              <w:rPr>
                <w:szCs w:val="24"/>
              </w:rPr>
              <w:t>品率</w:t>
            </w:r>
          </w:p>
        </w:tc>
        <w:tc>
          <w:tcPr>
            <w:tcW w:w="789" w:type="dxa"/>
            <w:gridSpan w:val="4"/>
            <w:vAlign w:val="center"/>
          </w:tcPr>
          <w:p>
            <w:pPr>
              <w:spacing w:line="400" w:lineRule="exact"/>
              <w:jc w:val="center"/>
              <w:rPr>
                <w:szCs w:val="24"/>
              </w:rPr>
            </w:pPr>
            <w:r>
              <w:rPr>
                <w:szCs w:val="24"/>
              </w:rPr>
              <w:t>一等品率</w:t>
            </w:r>
          </w:p>
        </w:tc>
        <w:tc>
          <w:tcPr>
            <w:tcW w:w="1803" w:type="dxa"/>
            <w:gridSpan w:val="4"/>
            <w:vAlign w:val="center"/>
          </w:tcPr>
          <w:p>
            <w:pPr>
              <w:spacing w:line="400" w:lineRule="exact"/>
              <w:jc w:val="center"/>
              <w:rPr>
                <w:szCs w:val="24"/>
              </w:rPr>
            </w:pPr>
            <w:r>
              <w:rPr>
                <w:szCs w:val="24"/>
              </w:rPr>
              <w:t>曾获何级何种奖励</w:t>
            </w:r>
          </w:p>
        </w:tc>
        <w:tc>
          <w:tcPr>
            <w:tcW w:w="1080" w:type="dxa"/>
            <w:gridSpan w:val="2"/>
            <w:vAlign w:val="center"/>
          </w:tcPr>
          <w:p>
            <w:pPr>
              <w:spacing w:line="400" w:lineRule="exact"/>
              <w:jc w:val="center"/>
              <w:rPr>
                <w:szCs w:val="24"/>
              </w:rPr>
            </w:pPr>
            <w:r>
              <w:rPr>
                <w:szCs w:val="24"/>
              </w:rPr>
              <w:t>主要用户</w:t>
            </w:r>
          </w:p>
          <w:p>
            <w:pPr>
              <w:spacing w:line="400" w:lineRule="exact"/>
              <w:jc w:val="center"/>
              <w:rPr>
                <w:szCs w:val="24"/>
              </w:rPr>
            </w:pPr>
            <w:r>
              <w:rPr>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pPr>
              <w:spacing w:line="400" w:lineRule="exact"/>
              <w:rPr>
                <w:szCs w:val="24"/>
              </w:rPr>
            </w:pPr>
          </w:p>
        </w:tc>
        <w:tc>
          <w:tcPr>
            <w:tcW w:w="1152" w:type="dxa"/>
            <w:gridSpan w:val="2"/>
          </w:tcPr>
          <w:p>
            <w:pPr>
              <w:spacing w:line="400" w:lineRule="exact"/>
              <w:rPr>
                <w:szCs w:val="24"/>
              </w:rPr>
            </w:pPr>
          </w:p>
        </w:tc>
        <w:tc>
          <w:tcPr>
            <w:tcW w:w="351" w:type="dxa"/>
            <w:gridSpan w:val="2"/>
          </w:tcPr>
          <w:p>
            <w:pPr>
              <w:spacing w:line="400" w:lineRule="exact"/>
              <w:jc w:val="center"/>
              <w:rPr>
                <w:szCs w:val="24"/>
              </w:rPr>
            </w:pPr>
          </w:p>
        </w:tc>
        <w:tc>
          <w:tcPr>
            <w:tcW w:w="678" w:type="dxa"/>
            <w:gridSpan w:val="3"/>
          </w:tcPr>
          <w:p>
            <w:pPr>
              <w:spacing w:line="400" w:lineRule="exact"/>
              <w:rPr>
                <w:szCs w:val="24"/>
              </w:rPr>
            </w:pPr>
          </w:p>
        </w:tc>
        <w:tc>
          <w:tcPr>
            <w:tcW w:w="570" w:type="dxa"/>
            <w:gridSpan w:val="3"/>
          </w:tcPr>
          <w:p>
            <w:pPr>
              <w:spacing w:line="400" w:lineRule="exact"/>
              <w:rPr>
                <w:szCs w:val="24"/>
              </w:rPr>
            </w:pPr>
          </w:p>
        </w:tc>
        <w:tc>
          <w:tcPr>
            <w:tcW w:w="1770" w:type="dxa"/>
            <w:gridSpan w:val="4"/>
          </w:tcPr>
          <w:p>
            <w:pPr>
              <w:spacing w:line="400" w:lineRule="exact"/>
              <w:rPr>
                <w:szCs w:val="24"/>
              </w:rPr>
            </w:pPr>
          </w:p>
        </w:tc>
        <w:tc>
          <w:tcPr>
            <w:tcW w:w="609" w:type="dxa"/>
            <w:gridSpan w:val="2"/>
          </w:tcPr>
          <w:p>
            <w:pPr>
              <w:spacing w:line="400" w:lineRule="exact"/>
              <w:rPr>
                <w:szCs w:val="24"/>
              </w:rPr>
            </w:pPr>
          </w:p>
        </w:tc>
        <w:tc>
          <w:tcPr>
            <w:tcW w:w="789" w:type="dxa"/>
            <w:gridSpan w:val="4"/>
          </w:tcPr>
          <w:p>
            <w:pPr>
              <w:spacing w:line="400" w:lineRule="exact"/>
              <w:rPr>
                <w:szCs w:val="24"/>
              </w:rPr>
            </w:pPr>
          </w:p>
        </w:tc>
        <w:tc>
          <w:tcPr>
            <w:tcW w:w="1803" w:type="dxa"/>
            <w:gridSpan w:val="4"/>
          </w:tcPr>
          <w:p>
            <w:pPr>
              <w:spacing w:line="400" w:lineRule="exact"/>
              <w:rPr>
                <w:szCs w:val="24"/>
              </w:rPr>
            </w:pPr>
          </w:p>
        </w:tc>
        <w:tc>
          <w:tcPr>
            <w:tcW w:w="1080" w:type="dxa"/>
            <w:gridSpan w:val="2"/>
          </w:tcPr>
          <w:p>
            <w:pPr>
              <w:spacing w:line="400" w:lineRule="exac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pPr>
              <w:spacing w:line="400" w:lineRule="exact"/>
              <w:rPr>
                <w:szCs w:val="24"/>
              </w:rPr>
            </w:pPr>
          </w:p>
        </w:tc>
        <w:tc>
          <w:tcPr>
            <w:tcW w:w="1152" w:type="dxa"/>
            <w:gridSpan w:val="2"/>
          </w:tcPr>
          <w:p>
            <w:pPr>
              <w:spacing w:line="400" w:lineRule="exact"/>
              <w:rPr>
                <w:szCs w:val="24"/>
              </w:rPr>
            </w:pPr>
          </w:p>
        </w:tc>
        <w:tc>
          <w:tcPr>
            <w:tcW w:w="351" w:type="dxa"/>
            <w:gridSpan w:val="2"/>
          </w:tcPr>
          <w:p>
            <w:pPr>
              <w:spacing w:line="400" w:lineRule="exact"/>
              <w:jc w:val="center"/>
              <w:rPr>
                <w:szCs w:val="24"/>
              </w:rPr>
            </w:pPr>
          </w:p>
        </w:tc>
        <w:tc>
          <w:tcPr>
            <w:tcW w:w="678" w:type="dxa"/>
            <w:gridSpan w:val="3"/>
          </w:tcPr>
          <w:p>
            <w:pPr>
              <w:spacing w:line="400" w:lineRule="exact"/>
              <w:rPr>
                <w:szCs w:val="24"/>
              </w:rPr>
            </w:pPr>
          </w:p>
        </w:tc>
        <w:tc>
          <w:tcPr>
            <w:tcW w:w="570" w:type="dxa"/>
            <w:gridSpan w:val="3"/>
          </w:tcPr>
          <w:p>
            <w:pPr>
              <w:spacing w:line="400" w:lineRule="exact"/>
              <w:rPr>
                <w:szCs w:val="24"/>
              </w:rPr>
            </w:pPr>
          </w:p>
        </w:tc>
        <w:tc>
          <w:tcPr>
            <w:tcW w:w="1770" w:type="dxa"/>
            <w:gridSpan w:val="4"/>
          </w:tcPr>
          <w:p>
            <w:pPr>
              <w:spacing w:line="400" w:lineRule="exact"/>
              <w:rPr>
                <w:szCs w:val="24"/>
              </w:rPr>
            </w:pPr>
          </w:p>
        </w:tc>
        <w:tc>
          <w:tcPr>
            <w:tcW w:w="609" w:type="dxa"/>
            <w:gridSpan w:val="2"/>
          </w:tcPr>
          <w:p>
            <w:pPr>
              <w:spacing w:line="400" w:lineRule="exact"/>
              <w:rPr>
                <w:szCs w:val="24"/>
              </w:rPr>
            </w:pPr>
          </w:p>
        </w:tc>
        <w:tc>
          <w:tcPr>
            <w:tcW w:w="789" w:type="dxa"/>
            <w:gridSpan w:val="4"/>
          </w:tcPr>
          <w:p>
            <w:pPr>
              <w:spacing w:line="400" w:lineRule="exact"/>
              <w:rPr>
                <w:szCs w:val="24"/>
              </w:rPr>
            </w:pPr>
          </w:p>
        </w:tc>
        <w:tc>
          <w:tcPr>
            <w:tcW w:w="1803" w:type="dxa"/>
            <w:gridSpan w:val="4"/>
          </w:tcPr>
          <w:p>
            <w:pPr>
              <w:spacing w:line="400" w:lineRule="exact"/>
              <w:rPr>
                <w:szCs w:val="24"/>
              </w:rPr>
            </w:pPr>
          </w:p>
        </w:tc>
        <w:tc>
          <w:tcPr>
            <w:tcW w:w="1080" w:type="dxa"/>
            <w:gridSpan w:val="2"/>
          </w:tcPr>
          <w:p>
            <w:pPr>
              <w:spacing w:line="400" w:lineRule="exac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pPr>
              <w:spacing w:line="400" w:lineRule="exact"/>
              <w:rPr>
                <w:szCs w:val="24"/>
              </w:rPr>
            </w:pPr>
          </w:p>
        </w:tc>
        <w:tc>
          <w:tcPr>
            <w:tcW w:w="1152" w:type="dxa"/>
            <w:gridSpan w:val="2"/>
          </w:tcPr>
          <w:p>
            <w:pPr>
              <w:spacing w:line="400" w:lineRule="exact"/>
              <w:rPr>
                <w:szCs w:val="24"/>
              </w:rPr>
            </w:pPr>
          </w:p>
        </w:tc>
        <w:tc>
          <w:tcPr>
            <w:tcW w:w="351" w:type="dxa"/>
            <w:gridSpan w:val="2"/>
          </w:tcPr>
          <w:p>
            <w:pPr>
              <w:spacing w:line="400" w:lineRule="exact"/>
              <w:jc w:val="center"/>
              <w:rPr>
                <w:szCs w:val="24"/>
              </w:rPr>
            </w:pPr>
          </w:p>
        </w:tc>
        <w:tc>
          <w:tcPr>
            <w:tcW w:w="678" w:type="dxa"/>
            <w:gridSpan w:val="3"/>
          </w:tcPr>
          <w:p>
            <w:pPr>
              <w:spacing w:line="400" w:lineRule="exact"/>
              <w:rPr>
                <w:szCs w:val="24"/>
              </w:rPr>
            </w:pPr>
          </w:p>
        </w:tc>
        <w:tc>
          <w:tcPr>
            <w:tcW w:w="570" w:type="dxa"/>
            <w:gridSpan w:val="3"/>
          </w:tcPr>
          <w:p>
            <w:pPr>
              <w:spacing w:line="400" w:lineRule="exact"/>
              <w:rPr>
                <w:szCs w:val="24"/>
              </w:rPr>
            </w:pPr>
          </w:p>
        </w:tc>
        <w:tc>
          <w:tcPr>
            <w:tcW w:w="1770" w:type="dxa"/>
            <w:gridSpan w:val="4"/>
          </w:tcPr>
          <w:p>
            <w:pPr>
              <w:spacing w:line="400" w:lineRule="exact"/>
              <w:rPr>
                <w:szCs w:val="24"/>
              </w:rPr>
            </w:pPr>
          </w:p>
        </w:tc>
        <w:tc>
          <w:tcPr>
            <w:tcW w:w="609" w:type="dxa"/>
            <w:gridSpan w:val="2"/>
          </w:tcPr>
          <w:p>
            <w:pPr>
              <w:spacing w:line="400" w:lineRule="exact"/>
              <w:rPr>
                <w:szCs w:val="24"/>
              </w:rPr>
            </w:pPr>
          </w:p>
        </w:tc>
        <w:tc>
          <w:tcPr>
            <w:tcW w:w="789" w:type="dxa"/>
            <w:gridSpan w:val="4"/>
          </w:tcPr>
          <w:p>
            <w:pPr>
              <w:spacing w:line="400" w:lineRule="exact"/>
              <w:rPr>
                <w:szCs w:val="24"/>
              </w:rPr>
            </w:pPr>
          </w:p>
        </w:tc>
        <w:tc>
          <w:tcPr>
            <w:tcW w:w="1803" w:type="dxa"/>
            <w:gridSpan w:val="4"/>
          </w:tcPr>
          <w:p>
            <w:pPr>
              <w:spacing w:line="400" w:lineRule="exact"/>
              <w:rPr>
                <w:szCs w:val="24"/>
              </w:rPr>
            </w:pPr>
          </w:p>
        </w:tc>
        <w:tc>
          <w:tcPr>
            <w:tcW w:w="1080" w:type="dxa"/>
            <w:gridSpan w:val="2"/>
          </w:tcPr>
          <w:p>
            <w:pPr>
              <w:spacing w:line="400" w:lineRule="exact"/>
              <w:rPr>
                <w:szCs w:val="24"/>
              </w:rPr>
            </w:pPr>
          </w:p>
        </w:tc>
      </w:tr>
    </w:tbl>
    <w:p>
      <w:pPr>
        <w:spacing w:line="400" w:lineRule="exact"/>
        <w:ind w:firstLine="480"/>
        <w:rPr>
          <w:szCs w:val="24"/>
        </w:rPr>
      </w:pPr>
    </w:p>
    <w:p>
      <w:pPr>
        <w:spacing w:line="400" w:lineRule="exact"/>
        <w:ind w:firstLine="480"/>
        <w:rPr>
          <w:szCs w:val="24"/>
        </w:rPr>
      </w:pPr>
      <w:r>
        <w:rPr>
          <w:szCs w:val="24"/>
        </w:rPr>
        <w:t>投标人：（盖章）</w:t>
      </w:r>
    </w:p>
    <w:p>
      <w:pPr>
        <w:spacing w:line="400" w:lineRule="exact"/>
        <w:ind w:firstLine="480"/>
        <w:rPr>
          <w:szCs w:val="24"/>
        </w:rPr>
      </w:pPr>
      <w:r>
        <w:rPr>
          <w:szCs w:val="24"/>
        </w:rPr>
        <w:t>法定代表人（委托代理人）：（签字）</w:t>
      </w:r>
    </w:p>
    <w:p>
      <w:pPr>
        <w:rPr>
          <w:rFonts w:hint="eastAsia" w:ascii="宋体" w:hAnsi="宋体" w:cs="宋体"/>
          <w:b/>
          <w:bCs/>
          <w:color w:val="000000"/>
          <w:sz w:val="24"/>
        </w:rPr>
      </w:pPr>
      <w:r>
        <w:rPr>
          <w:szCs w:val="24"/>
        </w:rPr>
        <w:t>日期：年月日</w:t>
      </w:r>
      <w:r>
        <w:rPr>
          <w:rFonts w:hint="eastAsia" w:ascii="宋体" w:hAnsi="宋体" w:cs="宋体"/>
          <w:b/>
          <w:bCs/>
          <w:color w:val="000000"/>
          <w:sz w:val="24"/>
        </w:rPr>
        <w:br w:type="page"/>
      </w:r>
    </w:p>
    <w:p>
      <w:pPr>
        <w:rPr>
          <w:rFonts w:hint="eastAsia" w:ascii="宋体" w:hAnsi="宋体" w:cs="宋体"/>
          <w:b/>
          <w:bCs/>
          <w:color w:val="000000"/>
          <w:sz w:val="24"/>
        </w:rPr>
      </w:pPr>
      <w:r>
        <w:rPr>
          <w:rFonts w:hint="eastAsia" w:ascii="宋体" w:hAnsi="宋体" w:cs="宋体"/>
          <w:b/>
          <w:bCs/>
          <w:color w:val="000000"/>
          <w:sz w:val="24"/>
        </w:rPr>
        <w:t>附件4</w:t>
      </w:r>
    </w:p>
    <w:p>
      <w:pPr>
        <w:jc w:val="center"/>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中国重汽集团济南专用车有限公司新媒体平台直播和短视频运营项目</w:t>
      </w:r>
    </w:p>
    <w:p>
      <w:pPr>
        <w:jc w:val="center"/>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——月度服务KPI评分表</w:t>
      </w:r>
    </w:p>
    <w:p>
      <w:pPr>
        <w:ind w:firstLine="249"/>
        <w:rPr>
          <w:rFonts w:hint="eastAsia" w:ascii="宋体" w:hAnsi="宋体" w:cs="宋体"/>
          <w:b/>
          <w:bCs/>
          <w:color w:val="000000" w:themeColor="text1"/>
          <w:sz w:val="24"/>
          <w:szCs w:val="24"/>
          <w14:textFill>
            <w14:solidFill>
              <w14:schemeClr w14:val="tx1"/>
            </w14:solidFill>
          </w14:textFill>
        </w:rPr>
      </w:pPr>
    </w:p>
    <w:tbl>
      <w:tblPr>
        <w:tblStyle w:val="9"/>
        <w:tblW w:w="9286" w:type="dxa"/>
        <w:jc w:val="center"/>
        <w:tblLayout w:type="autofit"/>
        <w:tblCellMar>
          <w:top w:w="0" w:type="dxa"/>
          <w:left w:w="108" w:type="dxa"/>
          <w:bottom w:w="0" w:type="dxa"/>
          <w:right w:w="108" w:type="dxa"/>
        </w:tblCellMar>
      </w:tblPr>
      <w:tblGrid>
        <w:gridCol w:w="417"/>
        <w:gridCol w:w="617"/>
        <w:gridCol w:w="1110"/>
        <w:gridCol w:w="679"/>
        <w:gridCol w:w="566"/>
        <w:gridCol w:w="644"/>
        <w:gridCol w:w="1100"/>
        <w:gridCol w:w="1567"/>
        <w:gridCol w:w="541"/>
        <w:gridCol w:w="2045"/>
      </w:tblGrid>
      <w:tr>
        <w:tblPrEx>
          <w:tblCellMar>
            <w:top w:w="0" w:type="dxa"/>
            <w:left w:w="108" w:type="dxa"/>
            <w:bottom w:w="0" w:type="dxa"/>
            <w:right w:w="108" w:type="dxa"/>
          </w:tblCellMar>
        </w:tblPrEx>
        <w:trPr>
          <w:trHeight w:val="559" w:hRule="atLeast"/>
          <w:jc w:val="center"/>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themeColor="text1"/>
                <w:sz w:val="18"/>
                <w:szCs w:val="18"/>
                <w14:textFill>
                  <w14:solidFill>
                    <w14:schemeClr w14:val="tx1"/>
                  </w14:solidFill>
                </w14:textFill>
              </w:rPr>
            </w:pPr>
            <w:bookmarkStart w:id="11" w:name="OLE_LINK4"/>
            <w:r>
              <w:rPr>
                <w:rFonts w:hint="eastAsia" w:ascii="宋体" w:hAnsi="宋体" w:cs="宋体"/>
                <w:b/>
                <w:bCs/>
                <w:color w:val="000000" w:themeColor="text1"/>
                <w:kern w:val="0"/>
                <w:sz w:val="18"/>
                <w:szCs w:val="18"/>
                <w:lang w:bidi="ar"/>
                <w14:textFill>
                  <w14:solidFill>
                    <w14:schemeClr w14:val="tx1"/>
                  </w14:solidFill>
                </w14:textFill>
              </w:rPr>
              <w:t>序号</w:t>
            </w:r>
          </w:p>
        </w:tc>
        <w:tc>
          <w:tcPr>
            <w:tcW w:w="6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kern w:val="0"/>
                <w:sz w:val="18"/>
                <w:szCs w:val="18"/>
                <w:lang w:bidi="ar"/>
                <w14:textFill>
                  <w14:solidFill>
                    <w14:schemeClr w14:val="tx1"/>
                  </w14:solidFill>
                </w14:textFill>
              </w:rPr>
              <w:t>考核项目</w:t>
            </w:r>
          </w:p>
        </w:tc>
        <w:tc>
          <w:tcPr>
            <w:tcW w:w="299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kern w:val="0"/>
                <w:sz w:val="18"/>
                <w:szCs w:val="18"/>
                <w:lang w:bidi="ar"/>
                <w14:textFill>
                  <w14:solidFill>
                    <w14:schemeClr w14:val="tx1"/>
                  </w14:solidFill>
                </w14:textFill>
              </w:rPr>
              <w:t>本月考核</w:t>
            </w:r>
          </w:p>
        </w:tc>
        <w:tc>
          <w:tcPr>
            <w:tcW w:w="1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themeColor="text1"/>
                <w:kern w:val="0"/>
                <w:sz w:val="18"/>
                <w:szCs w:val="18"/>
                <w:lang w:bidi="ar"/>
                <w14:textFill>
                  <w14:solidFill>
                    <w14:schemeClr w14:val="tx1"/>
                  </w14:solidFill>
                </w14:textFill>
              </w:rPr>
            </w:pPr>
          </w:p>
        </w:tc>
        <w:tc>
          <w:tcPr>
            <w:tcW w:w="15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kern w:val="0"/>
                <w:sz w:val="18"/>
                <w:szCs w:val="18"/>
                <w:lang w:bidi="ar"/>
                <w14:textFill>
                  <w14:solidFill>
                    <w14:schemeClr w14:val="tx1"/>
                  </w14:solidFill>
                </w14:textFill>
              </w:rPr>
              <w:t>考核标准</w:t>
            </w:r>
          </w:p>
        </w:tc>
        <w:tc>
          <w:tcPr>
            <w:tcW w:w="5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kern w:val="0"/>
                <w:sz w:val="18"/>
                <w:szCs w:val="18"/>
                <w:lang w:bidi="ar"/>
                <w14:textFill>
                  <w14:solidFill>
                    <w14:schemeClr w14:val="tx1"/>
                  </w14:solidFill>
                </w14:textFill>
              </w:rPr>
              <w:t>考核得分</w:t>
            </w:r>
          </w:p>
        </w:tc>
        <w:tc>
          <w:tcPr>
            <w:tcW w:w="20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kern w:val="0"/>
                <w:sz w:val="18"/>
                <w:szCs w:val="18"/>
                <w:lang w:bidi="ar"/>
                <w14:textFill>
                  <w14:solidFill>
                    <w14:schemeClr w14:val="tx1"/>
                  </w14:solidFill>
                </w14:textFill>
              </w:rPr>
              <w:t>得分计算方式</w:t>
            </w:r>
          </w:p>
        </w:tc>
      </w:tr>
      <w:tr>
        <w:tblPrEx>
          <w:tblCellMar>
            <w:top w:w="0" w:type="dxa"/>
            <w:left w:w="108" w:type="dxa"/>
            <w:bottom w:w="0" w:type="dxa"/>
            <w:right w:w="108" w:type="dxa"/>
          </w:tblCellMar>
        </w:tblPrEx>
        <w:trPr>
          <w:trHeight w:val="1658" w:hRule="atLeast"/>
          <w:jc w:val="center"/>
        </w:trPr>
        <w:tc>
          <w:tcPr>
            <w:tcW w:w="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color w:val="000000" w:themeColor="text1"/>
                <w:sz w:val="18"/>
                <w:szCs w:val="18"/>
                <w14:textFill>
                  <w14:solidFill>
                    <w14:schemeClr w14:val="tx1"/>
                  </w14:solidFill>
                </w14:textFill>
              </w:rPr>
            </w:pPr>
          </w:p>
        </w:tc>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color w:val="000000" w:themeColor="text1"/>
                <w:sz w:val="18"/>
                <w:szCs w:val="18"/>
                <w14:textFill>
                  <w14:solidFill>
                    <w14:schemeClr w14:val="tx1"/>
                  </w14:solidFill>
                </w14:textFill>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kern w:val="0"/>
                <w:sz w:val="18"/>
                <w:szCs w:val="18"/>
                <w:lang w:bidi="ar"/>
                <w14:textFill>
                  <w14:solidFill>
                    <w14:schemeClr w14:val="tx1"/>
                  </w14:solidFill>
                </w14:textFill>
              </w:rPr>
              <w:t>考核板块</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kern w:val="0"/>
                <w:sz w:val="18"/>
                <w:szCs w:val="18"/>
                <w:lang w:bidi="ar"/>
                <w14:textFill>
                  <w14:solidFill>
                    <w14:schemeClr w14:val="tx1"/>
                  </w14:solidFill>
                </w14:textFill>
              </w:rPr>
              <w:t>本月计划</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kern w:val="0"/>
                <w:sz w:val="18"/>
                <w:szCs w:val="18"/>
                <w:lang w:bidi="ar"/>
                <w14:textFill>
                  <w14:solidFill>
                    <w14:schemeClr w14:val="tx1"/>
                  </w14:solidFill>
                </w14:textFill>
              </w:rPr>
              <w:t>本月实际完成</w:t>
            </w:r>
          </w:p>
        </w:tc>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kern w:val="0"/>
                <w:sz w:val="18"/>
                <w:szCs w:val="18"/>
                <w:lang w:bidi="ar"/>
                <w14:textFill>
                  <w14:solidFill>
                    <w14:schemeClr w14:val="tx1"/>
                  </w14:solidFill>
                </w14:textFill>
              </w:rPr>
              <w:t>KPI完成率</w:t>
            </w: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平台</w:t>
            </w:r>
          </w:p>
        </w:tc>
        <w:tc>
          <w:tcPr>
            <w:tcW w:w="15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color w:val="000000" w:themeColor="text1"/>
                <w:sz w:val="18"/>
                <w:szCs w:val="18"/>
                <w14:textFill>
                  <w14:solidFill>
                    <w14:schemeClr w14:val="tx1"/>
                  </w14:solidFill>
                </w14:textFill>
              </w:rPr>
            </w:pPr>
          </w:p>
        </w:tc>
        <w:tc>
          <w:tcPr>
            <w:tcW w:w="5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color w:val="000000" w:themeColor="text1"/>
                <w:sz w:val="18"/>
                <w:szCs w:val="18"/>
                <w14:textFill>
                  <w14:solidFill>
                    <w14:schemeClr w14:val="tx1"/>
                  </w14:solidFill>
                </w14:textFill>
              </w:rPr>
            </w:pPr>
          </w:p>
        </w:tc>
        <w:tc>
          <w:tcPr>
            <w:tcW w:w="2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834" w:hRule="atLeast"/>
          <w:jc w:val="center"/>
        </w:trPr>
        <w:tc>
          <w:tcPr>
            <w:tcW w:w="417" w:type="dxa"/>
            <w:vMerge w:val="restart"/>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w:t>
            </w:r>
          </w:p>
        </w:tc>
        <w:tc>
          <w:tcPr>
            <w:tcW w:w="617" w:type="dxa"/>
            <w:vMerge w:val="restart"/>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短视频（</w:t>
            </w:r>
            <w:r>
              <w:rPr>
                <w:rFonts w:hint="eastAsia" w:ascii="宋体" w:hAnsi="宋体" w:cs="宋体"/>
                <w:color w:val="000000" w:themeColor="text1"/>
                <w:kern w:val="0"/>
                <w:sz w:val="18"/>
                <w:szCs w:val="18"/>
                <w:lang w:val="en-US" w:eastAsia="zh-CN" w:bidi="ar"/>
                <w14:textFill>
                  <w14:solidFill>
                    <w14:schemeClr w14:val="tx1"/>
                  </w14:solidFill>
                </w14:textFill>
              </w:rPr>
              <w:t>40</w:t>
            </w:r>
            <w:r>
              <w:rPr>
                <w:rFonts w:hint="eastAsia" w:ascii="宋体" w:hAnsi="宋体" w:cs="宋体"/>
                <w:color w:val="000000" w:themeColor="text1"/>
                <w:kern w:val="0"/>
                <w:sz w:val="18"/>
                <w:szCs w:val="18"/>
                <w:lang w:bidi="ar"/>
                <w14:textFill>
                  <w14:solidFill>
                    <w14:schemeClr w14:val="tx1"/>
                  </w14:solidFill>
                </w14:textFill>
              </w:rPr>
              <w:t>分）</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月度短视频独立</w:t>
            </w:r>
            <w:r>
              <w:rPr>
                <w:rFonts w:hint="eastAsia" w:ascii="宋体" w:hAnsi="宋体" w:cs="宋体"/>
                <w:color w:val="000000" w:themeColor="text1"/>
                <w:kern w:val="0"/>
                <w:sz w:val="18"/>
                <w:szCs w:val="18"/>
                <w:lang w:val="en-US" w:eastAsia="zh-CN" w:bidi="ar"/>
                <w14:textFill>
                  <w14:solidFill>
                    <w14:schemeClr w14:val="tx1"/>
                  </w14:solidFill>
                </w14:textFill>
              </w:rPr>
              <w:t>制作</w:t>
            </w:r>
            <w:r>
              <w:rPr>
                <w:rFonts w:hint="eastAsia" w:ascii="宋体" w:hAnsi="宋体" w:cs="宋体"/>
                <w:color w:val="000000" w:themeColor="text1"/>
                <w:kern w:val="0"/>
                <w:sz w:val="18"/>
                <w:szCs w:val="18"/>
                <w:lang w:bidi="ar"/>
                <w14:textFill>
                  <w14:solidFill>
                    <w14:schemeClr w14:val="tx1"/>
                  </w14:solidFill>
                </w14:textFill>
              </w:rPr>
              <w:t>数量（</w:t>
            </w:r>
            <w:r>
              <w:rPr>
                <w:rFonts w:hint="eastAsia" w:ascii="宋体" w:hAnsi="宋体" w:cs="宋体"/>
                <w:color w:val="000000" w:themeColor="text1"/>
                <w:kern w:val="0"/>
                <w:sz w:val="18"/>
                <w:szCs w:val="18"/>
                <w:lang w:val="en-US" w:eastAsia="zh-CN" w:bidi="ar"/>
                <w14:textFill>
                  <w14:solidFill>
                    <w14:schemeClr w14:val="tx1"/>
                  </w14:solidFill>
                </w14:textFill>
              </w:rPr>
              <w:t>10</w:t>
            </w:r>
            <w:r>
              <w:rPr>
                <w:rFonts w:hint="eastAsia" w:ascii="宋体" w:hAnsi="宋体" w:cs="宋体"/>
                <w:color w:val="000000" w:themeColor="text1"/>
                <w:kern w:val="0"/>
                <w:sz w:val="18"/>
                <w:szCs w:val="18"/>
                <w:lang w:bidi="ar"/>
                <w14:textFill>
                  <w14:solidFill>
                    <w14:schemeClr w14:val="tx1"/>
                  </w14:solidFill>
                </w14:textFill>
              </w:rPr>
              <w:t>分）（均为原创视频</w:t>
            </w:r>
            <w:r>
              <w:rPr>
                <w:rFonts w:hint="eastAsia" w:ascii="宋体" w:hAnsi="宋体" w:cs="宋体"/>
                <w:color w:val="000000" w:themeColor="text1"/>
                <w:kern w:val="0"/>
                <w:sz w:val="18"/>
                <w:szCs w:val="18"/>
                <w:lang w:val="en-US" w:eastAsia="zh-CN" w:bidi="ar"/>
                <w14:textFill>
                  <w14:solidFill>
                    <w14:schemeClr w14:val="tx1"/>
                  </w14:solidFill>
                </w14:textFill>
              </w:rPr>
              <w:t>其中发布到抖音、快手平台8条，微信视频号2条</w:t>
            </w:r>
            <w:r>
              <w:rPr>
                <w:rFonts w:hint="eastAsia" w:ascii="宋体" w:hAnsi="宋体" w:cs="宋体"/>
                <w:color w:val="000000" w:themeColor="text1"/>
                <w:kern w:val="0"/>
                <w:sz w:val="18"/>
                <w:szCs w:val="18"/>
                <w:lang w:bidi="ar"/>
                <w14:textFill>
                  <w14:solidFill>
                    <w14:schemeClr w14:val="tx1"/>
                  </w14:solidFill>
                </w14:textFill>
              </w:rPr>
              <w:t>）</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r>
              <w:rPr>
                <w:rFonts w:hint="eastAsia" w:ascii="宋体" w:hAnsi="宋体" w:cs="宋体"/>
                <w:color w:val="000000" w:themeColor="text1"/>
                <w:kern w:val="0"/>
                <w:sz w:val="18"/>
                <w:szCs w:val="18"/>
                <w:lang w:val="en-US" w:eastAsia="zh-CN" w:bidi="ar"/>
                <w14:textFill>
                  <w14:solidFill>
                    <w14:schemeClr w14:val="tx1"/>
                  </w14:solidFill>
                </w14:textFill>
              </w:rPr>
              <w:t>10</w:t>
            </w:r>
            <w:r>
              <w:rPr>
                <w:rFonts w:hint="eastAsia" w:ascii="宋体" w:hAnsi="宋体" w:cs="宋体"/>
                <w:color w:val="000000" w:themeColor="text1"/>
                <w:kern w:val="0"/>
                <w:sz w:val="18"/>
                <w:szCs w:val="18"/>
                <w:lang w:bidi="ar"/>
                <w14:textFill>
                  <w14:solidFill>
                    <w14:schemeClr w14:val="tx1"/>
                  </w14:solidFill>
                </w14:textFill>
              </w:rPr>
              <w:t>条</w:t>
            </w:r>
          </w:p>
        </w:tc>
        <w:tc>
          <w:tcPr>
            <w:tcW w:w="5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6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1100"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抖音、快手、视频号平台</w:t>
            </w:r>
          </w:p>
        </w:tc>
        <w:tc>
          <w:tcPr>
            <w:tcW w:w="1567" w:type="dxa"/>
            <w:vMerge w:val="restart"/>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服务KPI要求完成率，完成率为50%以下得0分</w:t>
            </w:r>
          </w:p>
        </w:tc>
        <w:tc>
          <w:tcPr>
            <w:tcW w:w="5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20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实际独立</w:t>
            </w:r>
            <w:r>
              <w:rPr>
                <w:rFonts w:hint="eastAsia" w:ascii="宋体" w:hAnsi="宋体" w:cs="宋体"/>
                <w:color w:val="000000" w:themeColor="text1"/>
                <w:kern w:val="0"/>
                <w:sz w:val="18"/>
                <w:szCs w:val="18"/>
                <w:lang w:val="en-US" w:eastAsia="zh-CN" w:bidi="ar"/>
                <w14:textFill>
                  <w14:solidFill>
                    <w14:schemeClr w14:val="tx1"/>
                  </w14:solidFill>
                </w14:textFill>
              </w:rPr>
              <w:t>制作</w:t>
            </w:r>
            <w:r>
              <w:rPr>
                <w:rFonts w:hint="eastAsia" w:ascii="宋体" w:hAnsi="宋体" w:cs="宋体"/>
                <w:color w:val="000000" w:themeColor="text1"/>
                <w:kern w:val="0"/>
                <w:sz w:val="18"/>
                <w:szCs w:val="18"/>
                <w:lang w:bidi="ar"/>
                <w14:textFill>
                  <w14:solidFill>
                    <w14:schemeClr w14:val="tx1"/>
                  </w14:solidFill>
                </w14:textFill>
              </w:rPr>
              <w:t>数量/计划发布数量×</w:t>
            </w:r>
            <w:r>
              <w:rPr>
                <w:rFonts w:hint="eastAsia" w:ascii="宋体" w:hAnsi="宋体" w:cs="宋体"/>
                <w:color w:val="000000" w:themeColor="text1"/>
                <w:kern w:val="0"/>
                <w:sz w:val="18"/>
                <w:szCs w:val="18"/>
                <w:lang w:val="en-US" w:eastAsia="zh-CN" w:bidi="ar"/>
                <w14:textFill>
                  <w14:solidFill>
                    <w14:schemeClr w14:val="tx1"/>
                  </w14:solidFill>
                </w14:textFill>
              </w:rPr>
              <w:t>10</w:t>
            </w:r>
            <w:r>
              <w:rPr>
                <w:rFonts w:hint="eastAsia" w:ascii="宋体" w:hAnsi="宋体" w:cs="宋体"/>
                <w:color w:val="000000" w:themeColor="text1"/>
                <w:kern w:val="0"/>
                <w:sz w:val="18"/>
                <w:szCs w:val="18"/>
                <w:lang w:bidi="ar"/>
                <w14:textFill>
                  <w14:solidFill>
                    <w14:schemeClr w14:val="tx1"/>
                  </w14:solidFill>
                </w14:textFill>
              </w:rPr>
              <w:t>分</w:t>
            </w:r>
          </w:p>
        </w:tc>
      </w:tr>
      <w:tr>
        <w:tblPrEx>
          <w:tblCellMar>
            <w:top w:w="0" w:type="dxa"/>
            <w:left w:w="108" w:type="dxa"/>
            <w:bottom w:w="0" w:type="dxa"/>
            <w:right w:w="108" w:type="dxa"/>
          </w:tblCellMar>
        </w:tblPrEx>
        <w:trPr>
          <w:trHeight w:val="834" w:hRule="atLeast"/>
          <w:jc w:val="center"/>
        </w:trPr>
        <w:tc>
          <w:tcPr>
            <w:tcW w:w="417"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p>
        </w:tc>
        <w:tc>
          <w:tcPr>
            <w:tcW w:w="617"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月度短视频协助发布数量（</w:t>
            </w:r>
            <w:r>
              <w:rPr>
                <w:rFonts w:hint="eastAsia" w:ascii="宋体" w:hAnsi="宋体" w:cs="宋体"/>
                <w:color w:val="000000" w:themeColor="text1"/>
                <w:kern w:val="0"/>
                <w:sz w:val="18"/>
                <w:szCs w:val="18"/>
                <w:lang w:val="en-US" w:eastAsia="zh-CN" w:bidi="ar"/>
                <w14:textFill>
                  <w14:solidFill>
                    <w14:schemeClr w14:val="tx1"/>
                  </w14:solidFill>
                </w14:textFill>
              </w:rPr>
              <w:t>5</w:t>
            </w:r>
            <w:r>
              <w:rPr>
                <w:rFonts w:hint="eastAsia" w:ascii="宋体" w:hAnsi="宋体" w:cs="宋体"/>
                <w:color w:val="000000" w:themeColor="text1"/>
                <w:kern w:val="0"/>
                <w:sz w:val="18"/>
                <w:szCs w:val="18"/>
                <w:lang w:bidi="ar"/>
                <w14:textFill>
                  <w14:solidFill>
                    <w14:schemeClr w14:val="tx1"/>
                  </w14:solidFill>
                </w14:textFill>
              </w:rPr>
              <w:t>分）</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r>
              <w:rPr>
                <w:rFonts w:hint="eastAsia" w:ascii="宋体" w:hAnsi="宋体" w:cs="宋体"/>
                <w:color w:val="000000" w:themeColor="text1"/>
                <w:kern w:val="0"/>
                <w:sz w:val="18"/>
                <w:szCs w:val="18"/>
                <w:lang w:val="en-US" w:eastAsia="zh-CN" w:bidi="ar"/>
                <w14:textFill>
                  <w14:solidFill>
                    <w14:schemeClr w14:val="tx1"/>
                  </w14:solidFill>
                </w14:textFill>
              </w:rPr>
              <w:t>6</w:t>
            </w:r>
            <w:r>
              <w:rPr>
                <w:rFonts w:hint="eastAsia" w:ascii="宋体" w:hAnsi="宋体" w:cs="宋体"/>
                <w:color w:val="000000" w:themeColor="text1"/>
                <w:kern w:val="0"/>
                <w:sz w:val="18"/>
                <w:szCs w:val="18"/>
                <w:lang w:bidi="ar"/>
                <w14:textFill>
                  <w14:solidFill>
                    <w14:schemeClr w14:val="tx1"/>
                  </w14:solidFill>
                </w14:textFill>
              </w:rPr>
              <w:t>条</w:t>
            </w:r>
          </w:p>
        </w:tc>
        <w:tc>
          <w:tcPr>
            <w:tcW w:w="5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6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1100"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抖音、快手、视频号平台</w:t>
            </w:r>
          </w:p>
        </w:tc>
        <w:tc>
          <w:tcPr>
            <w:tcW w:w="1567"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p>
        </w:tc>
        <w:tc>
          <w:tcPr>
            <w:tcW w:w="5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20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实际发布数量/计划发布数量×</w:t>
            </w:r>
            <w:r>
              <w:rPr>
                <w:rFonts w:hint="eastAsia" w:ascii="宋体" w:hAnsi="宋体" w:cs="宋体"/>
                <w:color w:val="000000" w:themeColor="text1"/>
                <w:kern w:val="0"/>
                <w:sz w:val="18"/>
                <w:szCs w:val="18"/>
                <w:lang w:val="en-US" w:eastAsia="zh-CN" w:bidi="ar"/>
                <w14:textFill>
                  <w14:solidFill>
                    <w14:schemeClr w14:val="tx1"/>
                  </w14:solidFill>
                </w14:textFill>
              </w:rPr>
              <w:t>5</w:t>
            </w:r>
            <w:r>
              <w:rPr>
                <w:rFonts w:hint="eastAsia" w:ascii="宋体" w:hAnsi="宋体" w:cs="宋体"/>
                <w:color w:val="000000" w:themeColor="text1"/>
                <w:kern w:val="0"/>
                <w:sz w:val="18"/>
                <w:szCs w:val="18"/>
                <w:lang w:bidi="ar"/>
                <w14:textFill>
                  <w14:solidFill>
                    <w14:schemeClr w14:val="tx1"/>
                  </w14:solidFill>
                </w14:textFill>
              </w:rPr>
              <w:t>分</w:t>
            </w:r>
          </w:p>
        </w:tc>
      </w:tr>
      <w:tr>
        <w:tblPrEx>
          <w:tblCellMar>
            <w:top w:w="0" w:type="dxa"/>
            <w:left w:w="108" w:type="dxa"/>
            <w:bottom w:w="0" w:type="dxa"/>
            <w:right w:w="108" w:type="dxa"/>
          </w:tblCellMar>
        </w:tblPrEx>
        <w:trPr>
          <w:trHeight w:val="834" w:hRule="atLeast"/>
          <w:jc w:val="center"/>
        </w:trPr>
        <w:tc>
          <w:tcPr>
            <w:tcW w:w="417"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617"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月度抖音独立短视频传播量（5分）</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r>
              <w:rPr>
                <w:rFonts w:hint="eastAsia" w:ascii="宋体" w:hAnsi="宋体" w:cs="宋体"/>
                <w:color w:val="000000" w:themeColor="text1"/>
                <w:kern w:val="0"/>
                <w:sz w:val="18"/>
                <w:szCs w:val="18"/>
                <w:lang w:val="en-US" w:eastAsia="zh-CN" w:bidi="ar"/>
                <w14:textFill>
                  <w14:solidFill>
                    <w14:schemeClr w14:val="tx1"/>
                  </w14:solidFill>
                </w14:textFill>
              </w:rPr>
              <w:t>16</w:t>
            </w:r>
            <w:r>
              <w:rPr>
                <w:rFonts w:hint="eastAsia" w:ascii="宋体" w:hAnsi="宋体" w:cs="宋体"/>
                <w:color w:val="000000" w:themeColor="text1"/>
                <w:kern w:val="0"/>
                <w:sz w:val="18"/>
                <w:szCs w:val="18"/>
                <w:lang w:bidi="ar"/>
                <w14:textFill>
                  <w14:solidFill>
                    <w14:schemeClr w14:val="tx1"/>
                  </w14:solidFill>
                </w14:textFill>
              </w:rPr>
              <w:t>万</w:t>
            </w:r>
          </w:p>
        </w:tc>
        <w:tc>
          <w:tcPr>
            <w:tcW w:w="5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6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1100" w:type="dxa"/>
            <w:tcBorders>
              <w:top w:val="single" w:color="000000" w:sz="4" w:space="0"/>
              <w:left w:val="single" w:color="000000" w:sz="4" w:space="0"/>
              <w:bottom w:val="nil"/>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抖音平台</w:t>
            </w:r>
          </w:p>
        </w:tc>
        <w:tc>
          <w:tcPr>
            <w:tcW w:w="1567"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5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20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实际独立视频传播数量/计划传播数量×5分</w:t>
            </w:r>
          </w:p>
        </w:tc>
      </w:tr>
      <w:tr>
        <w:tblPrEx>
          <w:tblCellMar>
            <w:top w:w="0" w:type="dxa"/>
            <w:left w:w="108" w:type="dxa"/>
            <w:bottom w:w="0" w:type="dxa"/>
            <w:right w:w="108" w:type="dxa"/>
          </w:tblCellMar>
        </w:tblPrEx>
        <w:trPr>
          <w:trHeight w:val="834" w:hRule="atLeast"/>
          <w:jc w:val="center"/>
        </w:trPr>
        <w:tc>
          <w:tcPr>
            <w:tcW w:w="417"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617"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月度快手独立短视频传播量（</w:t>
            </w:r>
            <w:r>
              <w:rPr>
                <w:rFonts w:hint="eastAsia" w:ascii="宋体" w:hAnsi="宋体" w:cs="宋体"/>
                <w:color w:val="000000" w:themeColor="text1"/>
                <w:kern w:val="0"/>
                <w:sz w:val="18"/>
                <w:szCs w:val="18"/>
                <w:lang w:val="en-US" w:eastAsia="zh-CN" w:bidi="ar"/>
                <w14:textFill>
                  <w14:solidFill>
                    <w14:schemeClr w14:val="tx1"/>
                  </w14:solidFill>
                </w14:textFill>
              </w:rPr>
              <w:t>5</w:t>
            </w:r>
            <w:r>
              <w:rPr>
                <w:rFonts w:hint="eastAsia" w:ascii="宋体" w:hAnsi="宋体" w:cs="宋体"/>
                <w:color w:val="000000" w:themeColor="text1"/>
                <w:kern w:val="0"/>
                <w:sz w:val="18"/>
                <w:szCs w:val="18"/>
                <w:lang w:bidi="ar"/>
                <w14:textFill>
                  <w14:solidFill>
                    <w14:schemeClr w14:val="tx1"/>
                  </w14:solidFill>
                </w14:textFill>
              </w:rPr>
              <w:t>分）</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≥100万</w:t>
            </w:r>
          </w:p>
        </w:tc>
        <w:tc>
          <w:tcPr>
            <w:tcW w:w="5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6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1100" w:type="dxa"/>
            <w:tcBorders>
              <w:top w:val="single" w:color="000000" w:sz="4" w:space="0"/>
              <w:left w:val="single" w:color="000000" w:sz="4" w:space="0"/>
              <w:bottom w:val="nil"/>
              <w:right w:val="single" w:color="000000" w:sz="4" w:space="0"/>
            </w:tcBorders>
            <w:vAlign w:val="center"/>
          </w:tcPr>
          <w:p>
            <w:pPr>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快手平台</w:t>
            </w:r>
          </w:p>
        </w:tc>
        <w:tc>
          <w:tcPr>
            <w:tcW w:w="1567"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5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20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实际独立视频传播数量/计划传播数量×</w:t>
            </w:r>
            <w:r>
              <w:rPr>
                <w:rFonts w:hint="eastAsia" w:ascii="宋体" w:hAnsi="宋体" w:cs="宋体"/>
                <w:color w:val="000000" w:themeColor="text1"/>
                <w:kern w:val="0"/>
                <w:sz w:val="18"/>
                <w:szCs w:val="18"/>
                <w:lang w:val="en-US" w:eastAsia="zh-CN" w:bidi="ar"/>
                <w14:textFill>
                  <w14:solidFill>
                    <w14:schemeClr w14:val="tx1"/>
                  </w14:solidFill>
                </w14:textFill>
              </w:rPr>
              <w:t>5</w:t>
            </w:r>
            <w:r>
              <w:rPr>
                <w:rFonts w:hint="eastAsia" w:ascii="宋体" w:hAnsi="宋体" w:cs="宋体"/>
                <w:color w:val="000000" w:themeColor="text1"/>
                <w:kern w:val="0"/>
                <w:sz w:val="18"/>
                <w:szCs w:val="18"/>
                <w:lang w:bidi="ar"/>
                <w14:textFill>
                  <w14:solidFill>
                    <w14:schemeClr w14:val="tx1"/>
                  </w14:solidFill>
                </w14:textFill>
              </w:rPr>
              <w:t>分</w:t>
            </w:r>
          </w:p>
        </w:tc>
      </w:tr>
      <w:tr>
        <w:tblPrEx>
          <w:tblCellMar>
            <w:top w:w="0" w:type="dxa"/>
            <w:left w:w="108" w:type="dxa"/>
            <w:bottom w:w="0" w:type="dxa"/>
            <w:right w:w="108" w:type="dxa"/>
          </w:tblCellMar>
        </w:tblPrEx>
        <w:trPr>
          <w:trHeight w:val="1383" w:hRule="atLeast"/>
          <w:jc w:val="center"/>
        </w:trPr>
        <w:tc>
          <w:tcPr>
            <w:tcW w:w="417"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617"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月度抖音独立单条短视频点赞量不低于50个（5分）</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≥50个/条</w:t>
            </w:r>
          </w:p>
        </w:tc>
        <w:tc>
          <w:tcPr>
            <w:tcW w:w="5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6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110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抖音平台</w:t>
            </w:r>
          </w:p>
        </w:tc>
        <w:tc>
          <w:tcPr>
            <w:tcW w:w="1567"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5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20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抖音实际点赞不低于50的视频数量/抖音实际发布视频数量×5分</w:t>
            </w:r>
          </w:p>
        </w:tc>
      </w:tr>
      <w:tr>
        <w:tblPrEx>
          <w:tblCellMar>
            <w:top w:w="0" w:type="dxa"/>
            <w:left w:w="108" w:type="dxa"/>
            <w:bottom w:w="0" w:type="dxa"/>
            <w:right w:w="108" w:type="dxa"/>
          </w:tblCellMar>
        </w:tblPrEx>
        <w:trPr>
          <w:trHeight w:val="1383" w:hRule="atLeast"/>
          <w:jc w:val="center"/>
        </w:trPr>
        <w:tc>
          <w:tcPr>
            <w:tcW w:w="417" w:type="dxa"/>
            <w:vMerge w:val="continue"/>
            <w:tcBorders>
              <w:top w:val="single" w:color="auto" w:sz="4" w:space="0"/>
              <w:left w:val="single" w:color="000000" w:sz="4" w:space="0"/>
              <w:bottom w:val="nil"/>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617" w:type="dxa"/>
            <w:vMerge w:val="continue"/>
            <w:tcBorders>
              <w:top w:val="single" w:color="auto" w:sz="4" w:space="0"/>
              <w:left w:val="single" w:color="000000" w:sz="4" w:space="0"/>
              <w:bottom w:val="nil"/>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月度视频号独立短视频单条喜欢量和转发量总和不低于100个（5分）</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≥100个/条</w:t>
            </w:r>
          </w:p>
        </w:tc>
        <w:tc>
          <w:tcPr>
            <w:tcW w:w="5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6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1100" w:type="dxa"/>
            <w:tcBorders>
              <w:top w:val="single" w:color="auto" w:sz="4" w:space="0"/>
              <w:left w:val="single" w:color="000000" w:sz="4" w:space="0"/>
              <w:bottom w:val="nil"/>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视频号平台</w:t>
            </w:r>
          </w:p>
        </w:tc>
        <w:tc>
          <w:tcPr>
            <w:tcW w:w="1567" w:type="dxa"/>
            <w:vMerge w:val="continue"/>
            <w:tcBorders>
              <w:left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5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20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视频号独立短视频实际喜欢和转发总和不低100的视频数量/视频号实际发布视频数量×5分</w:t>
            </w:r>
          </w:p>
        </w:tc>
      </w:tr>
      <w:tr>
        <w:tblPrEx>
          <w:tblCellMar>
            <w:top w:w="0" w:type="dxa"/>
            <w:left w:w="108" w:type="dxa"/>
            <w:bottom w:w="0" w:type="dxa"/>
            <w:right w:w="108" w:type="dxa"/>
          </w:tblCellMar>
        </w:tblPrEx>
        <w:trPr>
          <w:trHeight w:val="1383" w:hRule="atLeast"/>
          <w:jc w:val="center"/>
        </w:trPr>
        <w:tc>
          <w:tcPr>
            <w:tcW w:w="417"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617"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每月</w:t>
            </w:r>
            <w:r>
              <w:rPr>
                <w:rFonts w:hint="eastAsia" w:ascii="宋体" w:hAnsi="宋体" w:cs="宋体"/>
                <w:color w:val="000000" w:themeColor="text1"/>
                <w:kern w:val="0"/>
                <w:sz w:val="18"/>
                <w:szCs w:val="18"/>
                <w:lang w:bidi="ar"/>
                <w14:textFill>
                  <w14:solidFill>
                    <w14:schemeClr w14:val="tx1"/>
                  </w14:solidFill>
                </w14:textFill>
              </w:rPr>
              <w:t>短视频投流不低于</w:t>
            </w:r>
            <w:r>
              <w:rPr>
                <w:rFonts w:hint="eastAsia" w:ascii="宋体" w:hAnsi="宋体" w:cs="宋体"/>
                <w:color w:val="000000" w:themeColor="text1"/>
                <w:kern w:val="0"/>
                <w:sz w:val="18"/>
                <w:szCs w:val="18"/>
                <w:lang w:val="en-US" w:eastAsia="zh-CN" w:bidi="ar"/>
                <w14:textFill>
                  <w14:solidFill>
                    <w14:schemeClr w14:val="tx1"/>
                  </w14:solidFill>
                </w14:textFill>
              </w:rPr>
              <w:t>24</w:t>
            </w:r>
            <w:r>
              <w:rPr>
                <w:rFonts w:hint="eastAsia" w:ascii="宋体" w:hAnsi="宋体" w:cs="宋体"/>
                <w:color w:val="000000" w:themeColor="text1"/>
                <w:kern w:val="0"/>
                <w:sz w:val="18"/>
                <w:szCs w:val="18"/>
                <w:lang w:bidi="ar"/>
                <w14:textFill>
                  <w14:solidFill>
                    <w14:schemeClr w14:val="tx1"/>
                  </w14:solidFill>
                </w14:textFill>
              </w:rPr>
              <w:t>00元</w:t>
            </w:r>
            <w:r>
              <w:rPr>
                <w:rFonts w:hint="eastAsia" w:ascii="宋体" w:hAnsi="宋体" w:cs="宋体"/>
                <w:color w:val="000000" w:themeColor="text1"/>
                <w:kern w:val="0"/>
                <w:sz w:val="18"/>
                <w:szCs w:val="18"/>
                <w:lang w:eastAsia="zh-CN" w:bidi="ar"/>
                <w14:textFill>
                  <w14:solidFill>
                    <w14:schemeClr w14:val="tx1"/>
                  </w14:solidFill>
                </w14:textFill>
              </w:rPr>
              <w:t>（</w:t>
            </w:r>
            <w:r>
              <w:rPr>
                <w:rFonts w:hint="eastAsia" w:ascii="宋体" w:hAnsi="宋体" w:cs="宋体"/>
                <w:color w:val="000000" w:themeColor="text1"/>
                <w:kern w:val="0"/>
                <w:sz w:val="18"/>
                <w:szCs w:val="18"/>
                <w:lang w:val="en-US" w:eastAsia="zh-CN" w:bidi="ar"/>
                <w14:textFill>
                  <w14:solidFill>
                    <w14:schemeClr w14:val="tx1"/>
                  </w14:solidFill>
                </w14:textFill>
              </w:rPr>
              <w:t>即每条视频最少100元）</w:t>
            </w:r>
            <w:r>
              <w:rPr>
                <w:rFonts w:hint="eastAsia" w:ascii="宋体" w:hAnsi="宋体" w:cs="宋体"/>
                <w:color w:val="000000" w:themeColor="text1"/>
                <w:kern w:val="0"/>
                <w:sz w:val="18"/>
                <w:szCs w:val="18"/>
                <w:lang w:bidi="ar"/>
                <w14:textFill>
                  <w14:solidFill>
                    <w14:schemeClr w14:val="tx1"/>
                  </w14:solidFill>
                </w14:textFill>
              </w:rPr>
              <w:t>（</w:t>
            </w:r>
            <w:r>
              <w:rPr>
                <w:rFonts w:hint="eastAsia" w:ascii="宋体" w:hAnsi="宋体" w:cs="宋体"/>
                <w:color w:val="000000" w:themeColor="text1"/>
                <w:kern w:val="0"/>
                <w:sz w:val="18"/>
                <w:szCs w:val="18"/>
                <w:lang w:val="en-US" w:eastAsia="zh-CN" w:bidi="ar"/>
                <w14:textFill>
                  <w14:solidFill>
                    <w14:schemeClr w14:val="tx1"/>
                  </w14:solidFill>
                </w14:textFill>
              </w:rPr>
              <w:t>5</w:t>
            </w:r>
            <w:r>
              <w:rPr>
                <w:rFonts w:hint="eastAsia" w:ascii="宋体" w:hAnsi="宋体" w:cs="宋体"/>
                <w:color w:val="000000" w:themeColor="text1"/>
                <w:kern w:val="0"/>
                <w:sz w:val="18"/>
                <w:szCs w:val="18"/>
                <w:lang w:bidi="ar"/>
                <w14:textFill>
                  <w14:solidFill>
                    <w14:schemeClr w14:val="tx1"/>
                  </w14:solidFill>
                </w14:textFill>
              </w:rPr>
              <w:t>分）</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r>
              <w:rPr>
                <w:rFonts w:hint="eastAsia" w:ascii="宋体" w:hAnsi="宋体" w:cs="宋体"/>
                <w:color w:val="000000" w:themeColor="text1"/>
                <w:kern w:val="0"/>
                <w:sz w:val="18"/>
                <w:szCs w:val="18"/>
                <w:lang w:val="en-US" w:eastAsia="zh-CN" w:bidi="ar"/>
                <w14:textFill>
                  <w14:solidFill>
                    <w14:schemeClr w14:val="tx1"/>
                  </w14:solidFill>
                </w14:textFill>
              </w:rPr>
              <w:t>2400</w:t>
            </w:r>
            <w:r>
              <w:rPr>
                <w:rFonts w:hint="eastAsia" w:ascii="宋体" w:hAnsi="宋体" w:cs="宋体"/>
                <w:color w:val="000000" w:themeColor="text1"/>
                <w:kern w:val="0"/>
                <w:sz w:val="18"/>
                <w:szCs w:val="18"/>
                <w:lang w:bidi="ar"/>
                <w14:textFill>
                  <w14:solidFill>
                    <w14:schemeClr w14:val="tx1"/>
                  </w14:solidFill>
                </w14:textFill>
              </w:rPr>
              <w:t>元</w:t>
            </w:r>
          </w:p>
        </w:tc>
        <w:tc>
          <w:tcPr>
            <w:tcW w:w="5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6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1100" w:type="dxa"/>
            <w:tcBorders>
              <w:top w:val="single" w:color="000000" w:sz="4" w:space="0"/>
              <w:left w:val="single" w:color="000000" w:sz="4" w:space="0"/>
              <w:bottom w:val="nil"/>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抖音、快手及</w:t>
            </w:r>
            <w:r>
              <w:rPr>
                <w:rFonts w:hint="eastAsia" w:ascii="宋体" w:hAnsi="宋体" w:cs="宋体"/>
                <w:color w:val="000000" w:themeColor="text1"/>
                <w:kern w:val="0"/>
                <w:sz w:val="18"/>
                <w:szCs w:val="18"/>
                <w:lang w:val="en-US" w:eastAsia="zh-CN" w:bidi="ar"/>
                <w14:textFill>
                  <w14:solidFill>
                    <w14:schemeClr w14:val="tx1"/>
                  </w14:solidFill>
                </w14:textFill>
              </w:rPr>
              <w:t>视频</w:t>
            </w:r>
            <w:r>
              <w:rPr>
                <w:rFonts w:hint="eastAsia" w:ascii="宋体" w:hAnsi="宋体" w:cs="宋体"/>
                <w:color w:val="000000" w:themeColor="text1"/>
                <w:kern w:val="0"/>
                <w:sz w:val="18"/>
                <w:szCs w:val="18"/>
                <w:lang w:bidi="ar"/>
                <w14:textFill>
                  <w14:solidFill>
                    <w14:schemeClr w14:val="tx1"/>
                  </w14:solidFill>
                </w14:textFill>
              </w:rPr>
              <w:t>号平台累计投流费用</w:t>
            </w:r>
          </w:p>
        </w:tc>
        <w:tc>
          <w:tcPr>
            <w:tcW w:w="1567" w:type="dxa"/>
            <w:vMerge w:val="continue"/>
            <w:tcBorders>
              <w:left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5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20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实际投流</w:t>
            </w:r>
            <w:r>
              <w:rPr>
                <w:rFonts w:hint="eastAsia" w:ascii="宋体" w:hAnsi="宋体" w:cs="宋体"/>
                <w:color w:val="000000" w:themeColor="text1"/>
                <w:kern w:val="0"/>
                <w:sz w:val="18"/>
                <w:szCs w:val="18"/>
                <w:lang w:val="en-US" w:eastAsia="zh-CN" w:bidi="ar"/>
                <w14:textFill>
                  <w14:solidFill>
                    <w14:schemeClr w14:val="tx1"/>
                  </w14:solidFill>
                </w14:textFill>
              </w:rPr>
              <w:t>费用</w:t>
            </w:r>
            <w:r>
              <w:rPr>
                <w:rFonts w:hint="eastAsia" w:ascii="宋体" w:hAnsi="宋体" w:cs="宋体"/>
                <w:color w:val="000000" w:themeColor="text1"/>
                <w:kern w:val="0"/>
                <w:sz w:val="18"/>
                <w:szCs w:val="18"/>
                <w:lang w:bidi="ar"/>
                <w14:textFill>
                  <w14:solidFill>
                    <w14:schemeClr w14:val="tx1"/>
                  </w14:solidFill>
                </w14:textFill>
              </w:rPr>
              <w:t>/</w:t>
            </w:r>
            <w:r>
              <w:rPr>
                <w:rFonts w:hint="eastAsia" w:ascii="宋体" w:hAnsi="宋体" w:cs="宋体"/>
                <w:color w:val="000000" w:themeColor="text1"/>
                <w:kern w:val="0"/>
                <w:sz w:val="18"/>
                <w:szCs w:val="18"/>
                <w:lang w:val="en-US" w:eastAsia="zh-CN" w:bidi="ar"/>
                <w14:textFill>
                  <w14:solidFill>
                    <w14:schemeClr w14:val="tx1"/>
                  </w14:solidFill>
                </w14:textFill>
              </w:rPr>
              <w:t>2400元</w:t>
            </w:r>
            <w:r>
              <w:rPr>
                <w:rFonts w:hint="eastAsia" w:ascii="宋体" w:hAnsi="宋体" w:cs="宋体"/>
                <w:color w:val="000000" w:themeColor="text1"/>
                <w:kern w:val="0"/>
                <w:sz w:val="18"/>
                <w:szCs w:val="18"/>
                <w:lang w:bidi="ar"/>
                <w14:textFill>
                  <w14:solidFill>
                    <w14:schemeClr w14:val="tx1"/>
                  </w14:solidFill>
                </w14:textFill>
              </w:rPr>
              <w:t>×</w:t>
            </w:r>
            <w:r>
              <w:rPr>
                <w:rFonts w:hint="eastAsia" w:ascii="宋体" w:hAnsi="宋体" w:cs="宋体"/>
                <w:color w:val="000000" w:themeColor="text1"/>
                <w:kern w:val="0"/>
                <w:sz w:val="18"/>
                <w:szCs w:val="18"/>
                <w:lang w:val="en-US" w:eastAsia="zh-CN" w:bidi="ar"/>
                <w14:textFill>
                  <w14:solidFill>
                    <w14:schemeClr w14:val="tx1"/>
                  </w14:solidFill>
                </w14:textFill>
              </w:rPr>
              <w:t>5</w:t>
            </w:r>
            <w:r>
              <w:rPr>
                <w:rFonts w:hint="eastAsia" w:ascii="宋体" w:hAnsi="宋体" w:cs="宋体"/>
                <w:color w:val="000000" w:themeColor="text1"/>
                <w:kern w:val="0"/>
                <w:sz w:val="18"/>
                <w:szCs w:val="18"/>
                <w:lang w:bidi="ar"/>
                <w14:textFill>
                  <w14:solidFill>
                    <w14:schemeClr w14:val="tx1"/>
                  </w14:solidFill>
                </w14:textFill>
              </w:rPr>
              <w:t>分</w:t>
            </w:r>
          </w:p>
        </w:tc>
      </w:tr>
      <w:tr>
        <w:tblPrEx>
          <w:tblCellMar>
            <w:top w:w="0" w:type="dxa"/>
            <w:left w:w="108" w:type="dxa"/>
            <w:bottom w:w="0" w:type="dxa"/>
            <w:right w:w="108" w:type="dxa"/>
          </w:tblCellMar>
        </w:tblPrEx>
        <w:trPr>
          <w:trHeight w:val="2079" w:hRule="atLeast"/>
          <w:jc w:val="center"/>
        </w:trPr>
        <w:tc>
          <w:tcPr>
            <w:tcW w:w="417"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w:t>
            </w:r>
          </w:p>
        </w:tc>
        <w:tc>
          <w:tcPr>
            <w:tcW w:w="617"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直播（</w:t>
            </w:r>
            <w:r>
              <w:rPr>
                <w:rFonts w:hint="eastAsia" w:ascii="宋体" w:hAnsi="宋体" w:cs="宋体"/>
                <w:color w:val="000000" w:themeColor="text1"/>
                <w:kern w:val="0"/>
                <w:sz w:val="18"/>
                <w:szCs w:val="18"/>
                <w:lang w:val="en-US" w:eastAsia="zh-CN" w:bidi="ar"/>
                <w14:textFill>
                  <w14:solidFill>
                    <w14:schemeClr w14:val="tx1"/>
                  </w14:solidFill>
                </w14:textFill>
              </w:rPr>
              <w:t>25</w:t>
            </w:r>
            <w:r>
              <w:rPr>
                <w:rFonts w:hint="eastAsia" w:ascii="宋体" w:hAnsi="宋体" w:cs="宋体"/>
                <w:color w:val="000000" w:themeColor="text1"/>
                <w:kern w:val="0"/>
                <w:sz w:val="18"/>
                <w:szCs w:val="18"/>
                <w:lang w:bidi="ar"/>
                <w14:textFill>
                  <w14:solidFill>
                    <w14:schemeClr w14:val="tx1"/>
                  </w14:solidFill>
                </w14:textFill>
              </w:rPr>
              <w:t>分）</w:t>
            </w:r>
          </w:p>
        </w:tc>
        <w:tc>
          <w:tcPr>
            <w:tcW w:w="111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月度直播场次（6分）</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≥2场</w:t>
            </w:r>
          </w:p>
        </w:tc>
        <w:tc>
          <w:tcPr>
            <w:tcW w:w="5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6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1100" w:type="dxa"/>
            <w:tcBorders>
              <w:top w:val="single" w:color="000000" w:sz="4" w:space="0"/>
              <w:left w:val="single" w:color="000000" w:sz="4" w:space="0"/>
              <w:bottom w:val="nil"/>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抖音平台</w:t>
            </w:r>
          </w:p>
        </w:tc>
        <w:tc>
          <w:tcPr>
            <w:tcW w:w="1567" w:type="dxa"/>
            <w:vMerge w:val="continue"/>
            <w:tcBorders>
              <w:left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5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20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实际直播场次/计划直播场次×6分，单场直播时长≥100分钟</w:t>
            </w:r>
          </w:p>
        </w:tc>
      </w:tr>
      <w:tr>
        <w:tblPrEx>
          <w:tblCellMar>
            <w:top w:w="0" w:type="dxa"/>
            <w:left w:w="108" w:type="dxa"/>
            <w:bottom w:w="0" w:type="dxa"/>
            <w:right w:w="108" w:type="dxa"/>
          </w:tblCellMar>
        </w:tblPrEx>
        <w:trPr>
          <w:trHeight w:val="834" w:hRule="atLeast"/>
          <w:jc w:val="center"/>
        </w:trPr>
        <w:tc>
          <w:tcPr>
            <w:tcW w:w="417"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p>
        </w:tc>
        <w:tc>
          <w:tcPr>
            <w:tcW w:w="617"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p>
        </w:tc>
        <w:tc>
          <w:tcPr>
            <w:tcW w:w="111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月度直播观看总人数（5分）</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≥0.4万</w:t>
            </w:r>
            <w:r>
              <w:rPr>
                <w:rFonts w:hint="eastAsia" w:ascii="宋体" w:hAnsi="宋体" w:cs="宋体"/>
                <w:color w:val="000000" w:themeColor="text1"/>
                <w:kern w:val="0"/>
                <w:sz w:val="18"/>
                <w:szCs w:val="18"/>
                <w:lang w:val="en-US" w:eastAsia="zh-CN" w:bidi="ar"/>
                <w14:textFill>
                  <w14:solidFill>
                    <w14:schemeClr w14:val="tx1"/>
                  </w14:solidFill>
                </w14:textFill>
              </w:rPr>
              <w:t>人</w:t>
            </w:r>
          </w:p>
        </w:tc>
        <w:tc>
          <w:tcPr>
            <w:tcW w:w="5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6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1100" w:type="dxa"/>
            <w:tcBorders>
              <w:top w:val="single" w:color="000000" w:sz="4" w:space="0"/>
              <w:left w:val="single" w:color="000000" w:sz="4" w:space="0"/>
              <w:bottom w:val="nil"/>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抖音平台</w:t>
            </w:r>
          </w:p>
        </w:tc>
        <w:tc>
          <w:tcPr>
            <w:tcW w:w="1567" w:type="dxa"/>
            <w:vMerge w:val="continue"/>
            <w:tcBorders>
              <w:left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5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20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实际直播总观看人数/计划观看人数×5分</w:t>
            </w:r>
          </w:p>
        </w:tc>
      </w:tr>
      <w:tr>
        <w:tblPrEx>
          <w:tblCellMar>
            <w:top w:w="0" w:type="dxa"/>
            <w:left w:w="108" w:type="dxa"/>
            <w:bottom w:w="0" w:type="dxa"/>
            <w:right w:w="108" w:type="dxa"/>
          </w:tblCellMar>
        </w:tblPrEx>
        <w:trPr>
          <w:trHeight w:val="834" w:hRule="atLeast"/>
          <w:jc w:val="center"/>
        </w:trPr>
        <w:tc>
          <w:tcPr>
            <w:tcW w:w="417" w:type="dxa"/>
            <w:vMerge w:val="continue"/>
            <w:tcBorders>
              <w:left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617" w:type="dxa"/>
            <w:vMerge w:val="continue"/>
            <w:tcBorders>
              <w:left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月度直播总点赞量（4分）</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≥3万</w:t>
            </w:r>
          </w:p>
        </w:tc>
        <w:tc>
          <w:tcPr>
            <w:tcW w:w="5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6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1100" w:type="dxa"/>
            <w:tcBorders>
              <w:top w:val="single" w:color="000000" w:sz="4" w:space="0"/>
              <w:left w:val="single" w:color="000000" w:sz="4" w:space="0"/>
              <w:bottom w:val="nil"/>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抖音平台</w:t>
            </w:r>
          </w:p>
        </w:tc>
        <w:tc>
          <w:tcPr>
            <w:tcW w:w="1567" w:type="dxa"/>
            <w:vMerge w:val="continue"/>
            <w:tcBorders>
              <w:left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5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20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实际直播总点赞量/计划点赞量×4分</w:t>
            </w:r>
          </w:p>
        </w:tc>
      </w:tr>
      <w:tr>
        <w:tblPrEx>
          <w:tblCellMar>
            <w:top w:w="0" w:type="dxa"/>
            <w:left w:w="108" w:type="dxa"/>
            <w:bottom w:w="0" w:type="dxa"/>
            <w:right w:w="108" w:type="dxa"/>
          </w:tblCellMar>
        </w:tblPrEx>
        <w:trPr>
          <w:trHeight w:val="834" w:hRule="atLeast"/>
          <w:jc w:val="center"/>
        </w:trPr>
        <w:tc>
          <w:tcPr>
            <w:tcW w:w="417" w:type="dxa"/>
            <w:vMerge w:val="continue"/>
            <w:tcBorders>
              <w:left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617" w:type="dxa"/>
            <w:vMerge w:val="continue"/>
            <w:tcBorders>
              <w:left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111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单场直播发放红包不少于50元，礼物不少于50元（4分）</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≥100元/场</w:t>
            </w:r>
          </w:p>
        </w:tc>
        <w:tc>
          <w:tcPr>
            <w:tcW w:w="5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6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110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根据抖音平台累计直播场次计算，进行红包派发和推流</w:t>
            </w:r>
          </w:p>
        </w:tc>
        <w:tc>
          <w:tcPr>
            <w:tcW w:w="1567" w:type="dxa"/>
            <w:vMerge w:val="continue"/>
            <w:tcBorders>
              <w:left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5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20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发放红包不低于50元，礼物不低于50元的直播场次/实际直播场次×4分</w:t>
            </w:r>
          </w:p>
        </w:tc>
      </w:tr>
      <w:tr>
        <w:tblPrEx>
          <w:tblCellMar>
            <w:top w:w="0" w:type="dxa"/>
            <w:left w:w="108" w:type="dxa"/>
            <w:bottom w:w="0" w:type="dxa"/>
            <w:right w:w="108" w:type="dxa"/>
          </w:tblCellMar>
        </w:tblPrEx>
        <w:trPr>
          <w:trHeight w:val="1109" w:hRule="atLeast"/>
          <w:jc w:val="center"/>
        </w:trPr>
        <w:tc>
          <w:tcPr>
            <w:tcW w:w="417" w:type="dxa"/>
            <w:vMerge w:val="continue"/>
            <w:tcBorders>
              <w:left w:val="single" w:color="000000" w:sz="4" w:space="0"/>
              <w:bottom w:val="single" w:color="auto"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617" w:type="dxa"/>
            <w:vMerge w:val="continue"/>
            <w:tcBorders>
              <w:left w:val="single" w:color="000000" w:sz="4" w:space="0"/>
              <w:bottom w:val="single" w:color="auto"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111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单场直播投流不低于200元（6分）</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≥200元</w:t>
            </w:r>
          </w:p>
        </w:tc>
        <w:tc>
          <w:tcPr>
            <w:tcW w:w="5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6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1100" w:type="dxa"/>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抖音平台</w:t>
            </w:r>
          </w:p>
        </w:tc>
        <w:tc>
          <w:tcPr>
            <w:tcW w:w="1567" w:type="dxa"/>
            <w:vMerge w:val="continue"/>
            <w:tcBorders>
              <w:left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5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20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实际投流不低于200元的直播数量/实际直播场次×6分</w:t>
            </w:r>
          </w:p>
        </w:tc>
      </w:tr>
      <w:tr>
        <w:tblPrEx>
          <w:tblCellMar>
            <w:top w:w="0" w:type="dxa"/>
            <w:left w:w="108" w:type="dxa"/>
            <w:bottom w:w="0" w:type="dxa"/>
            <w:right w:w="108" w:type="dxa"/>
          </w:tblCellMar>
        </w:tblPrEx>
        <w:trPr>
          <w:trHeight w:val="1109" w:hRule="atLeast"/>
          <w:jc w:val="center"/>
        </w:trPr>
        <w:tc>
          <w:tcPr>
            <w:tcW w:w="417"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w:t>
            </w:r>
          </w:p>
        </w:tc>
        <w:tc>
          <w:tcPr>
            <w:tcW w:w="617"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账户运营（2</w:t>
            </w:r>
            <w:r>
              <w:rPr>
                <w:rFonts w:hint="eastAsia" w:ascii="宋体" w:hAnsi="宋体" w:cs="宋体"/>
                <w:color w:val="000000" w:themeColor="text1"/>
                <w:kern w:val="0"/>
                <w:sz w:val="18"/>
                <w:szCs w:val="18"/>
                <w:lang w:val="en-US" w:eastAsia="zh-CN" w:bidi="ar"/>
                <w14:textFill>
                  <w14:solidFill>
                    <w14:schemeClr w14:val="tx1"/>
                  </w14:solidFill>
                </w14:textFill>
              </w:rPr>
              <w:t>5</w:t>
            </w:r>
            <w:r>
              <w:rPr>
                <w:rFonts w:hint="eastAsia" w:ascii="宋体" w:hAnsi="宋体" w:cs="宋体"/>
                <w:color w:val="000000" w:themeColor="text1"/>
                <w:kern w:val="0"/>
                <w:sz w:val="18"/>
                <w:szCs w:val="18"/>
                <w:lang w:bidi="ar"/>
                <w14:textFill>
                  <w14:solidFill>
                    <w14:schemeClr w14:val="tx1"/>
                  </w14:solidFill>
                </w14:textFill>
              </w:rPr>
              <w:t>分）</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抖音、快手平台当月粉丝增长数量（5分）</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≥0.21万</w:t>
            </w:r>
            <w:r>
              <w:rPr>
                <w:rFonts w:hint="eastAsia" w:ascii="宋体" w:hAnsi="宋体" w:cs="宋体"/>
                <w:color w:val="000000" w:themeColor="text1"/>
                <w:kern w:val="0"/>
                <w:sz w:val="18"/>
                <w:szCs w:val="18"/>
                <w:lang w:val="en-US" w:eastAsia="zh-CN" w:bidi="ar"/>
                <w14:textFill>
                  <w14:solidFill>
                    <w14:schemeClr w14:val="tx1"/>
                  </w14:solidFill>
                </w14:textFill>
              </w:rPr>
              <w:t>个</w:t>
            </w:r>
          </w:p>
        </w:tc>
        <w:tc>
          <w:tcPr>
            <w:tcW w:w="5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644"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抖音、快手平台之和</w:t>
            </w:r>
          </w:p>
        </w:tc>
        <w:tc>
          <w:tcPr>
            <w:tcW w:w="1567" w:type="dxa"/>
            <w:vMerge w:val="continue"/>
            <w:tcBorders>
              <w:left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5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20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粉丝实际增长量/计划增长量×5分</w:t>
            </w:r>
          </w:p>
        </w:tc>
      </w:tr>
      <w:tr>
        <w:tblPrEx>
          <w:tblCellMar>
            <w:top w:w="0" w:type="dxa"/>
            <w:left w:w="108" w:type="dxa"/>
            <w:bottom w:w="0" w:type="dxa"/>
            <w:right w:w="108" w:type="dxa"/>
          </w:tblCellMar>
        </w:tblPrEx>
        <w:trPr>
          <w:trHeight w:val="834" w:hRule="atLeast"/>
          <w:jc w:val="center"/>
        </w:trPr>
        <w:tc>
          <w:tcPr>
            <w:tcW w:w="417"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p>
        </w:tc>
        <w:tc>
          <w:tcPr>
            <w:tcW w:w="617"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视频号当月粉丝增长数量（5分）</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≥300个</w:t>
            </w:r>
          </w:p>
        </w:tc>
        <w:tc>
          <w:tcPr>
            <w:tcW w:w="5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6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1100" w:type="dxa"/>
            <w:tcBorders>
              <w:top w:val="single" w:color="auto" w:sz="4" w:space="0"/>
              <w:left w:val="single" w:color="000000" w:sz="4" w:space="0"/>
              <w:bottom w:val="nil"/>
              <w:right w:val="single" w:color="000000" w:sz="4" w:space="0"/>
            </w:tcBorders>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视频号</w:t>
            </w:r>
            <w:r>
              <w:rPr>
                <w:rFonts w:hint="eastAsia" w:ascii="宋体" w:hAnsi="宋体" w:cs="宋体"/>
                <w:color w:val="000000" w:themeColor="text1"/>
                <w:kern w:val="0"/>
                <w:sz w:val="18"/>
                <w:szCs w:val="18"/>
                <w:lang w:val="en-US" w:eastAsia="zh-CN" w:bidi="ar"/>
                <w14:textFill>
                  <w14:solidFill>
                    <w14:schemeClr w14:val="tx1"/>
                  </w14:solidFill>
                </w14:textFill>
              </w:rPr>
              <w:t>平台</w:t>
            </w:r>
          </w:p>
        </w:tc>
        <w:tc>
          <w:tcPr>
            <w:tcW w:w="1567" w:type="dxa"/>
            <w:vMerge w:val="continue"/>
            <w:tcBorders>
              <w:left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5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20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粉丝实际增长量/计划增长量×5分</w:t>
            </w:r>
          </w:p>
        </w:tc>
      </w:tr>
      <w:tr>
        <w:tblPrEx>
          <w:tblCellMar>
            <w:top w:w="0" w:type="dxa"/>
            <w:left w:w="108" w:type="dxa"/>
            <w:bottom w:w="0" w:type="dxa"/>
            <w:right w:w="108" w:type="dxa"/>
          </w:tblCellMar>
        </w:tblPrEx>
        <w:trPr>
          <w:trHeight w:val="834" w:hRule="atLeast"/>
          <w:jc w:val="center"/>
        </w:trPr>
        <w:tc>
          <w:tcPr>
            <w:tcW w:w="417" w:type="dxa"/>
            <w:vMerge w:val="continue"/>
            <w:tcBorders>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p>
        </w:tc>
        <w:tc>
          <w:tcPr>
            <w:tcW w:w="61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营销线索收集数量（15分）</w:t>
            </w:r>
          </w:p>
        </w:tc>
        <w:tc>
          <w:tcPr>
            <w:tcW w:w="679"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≥30条</w:t>
            </w:r>
          </w:p>
        </w:tc>
        <w:tc>
          <w:tcPr>
            <w:tcW w:w="566" w:type="dxa"/>
            <w:tcBorders>
              <w:top w:val="single" w:color="000000" w:sz="4" w:space="0"/>
              <w:left w:val="single" w:color="000000" w:sz="4" w:space="0"/>
              <w:bottom w:val="nil"/>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644" w:type="dxa"/>
            <w:tcBorders>
              <w:top w:val="single" w:color="000000" w:sz="4" w:space="0"/>
              <w:left w:val="single" w:color="000000" w:sz="4" w:space="0"/>
              <w:bottom w:val="nil"/>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1100" w:type="dxa"/>
            <w:tcBorders>
              <w:top w:val="single" w:color="000000" w:sz="4" w:space="0"/>
              <w:left w:val="single" w:color="000000" w:sz="4" w:space="0"/>
              <w:bottom w:val="nil"/>
              <w:right w:val="single" w:color="000000" w:sz="4" w:space="0"/>
            </w:tcBorders>
            <w:vAlign w:val="center"/>
          </w:tcPr>
          <w:p>
            <w:pPr>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抖音、快手及视频号平台之和</w:t>
            </w:r>
          </w:p>
        </w:tc>
        <w:tc>
          <w:tcPr>
            <w:tcW w:w="1567" w:type="dxa"/>
            <w:vMerge w:val="continue"/>
            <w:tcBorders>
              <w:left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5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20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营销线索实际收集量/计划收集量×15分</w:t>
            </w:r>
          </w:p>
        </w:tc>
      </w:tr>
      <w:tr>
        <w:tblPrEx>
          <w:tblCellMar>
            <w:top w:w="0" w:type="dxa"/>
            <w:left w:w="108" w:type="dxa"/>
            <w:bottom w:w="0" w:type="dxa"/>
            <w:right w:w="108" w:type="dxa"/>
          </w:tblCellMar>
        </w:tblPrEx>
        <w:trPr>
          <w:trHeight w:val="737" w:hRule="atLeast"/>
          <w:jc w:val="center"/>
        </w:trPr>
        <w:tc>
          <w:tcPr>
            <w:tcW w:w="417"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w:t>
            </w:r>
          </w:p>
        </w:tc>
        <w:tc>
          <w:tcPr>
            <w:tcW w:w="617"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服务质量（10分）</w:t>
            </w:r>
          </w:p>
        </w:tc>
        <w:tc>
          <w:tcPr>
            <w:tcW w:w="1110" w:type="dxa"/>
            <w:vMerge w:val="restart"/>
            <w:tcBorders>
              <w:top w:val="single" w:color="000000" w:sz="4" w:space="0"/>
              <w:left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团队配备（2分）</w:t>
            </w:r>
          </w:p>
        </w:tc>
        <w:tc>
          <w:tcPr>
            <w:tcW w:w="4556"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对社会热点、市场热点、平台热点等传播事件缺少灵敏洞察，无法及时策划和执行，如出现1次扣2分</w:t>
            </w:r>
            <w:r>
              <w:rPr>
                <w:rFonts w:hint="eastAsia" w:ascii="宋体" w:hAnsi="宋体" w:cs="宋体"/>
                <w:color w:val="000000" w:themeColor="text1"/>
                <w:kern w:val="0"/>
                <w:sz w:val="18"/>
                <w:szCs w:val="18"/>
                <w:lang w:eastAsia="zh-CN" w:bidi="ar"/>
                <w14:textFill>
                  <w14:solidFill>
                    <w14:schemeClr w14:val="tx1"/>
                  </w14:solidFill>
                </w14:textFill>
              </w:rPr>
              <w:t>。（</w:t>
            </w:r>
            <w:r>
              <w:rPr>
                <w:rFonts w:hint="eastAsia" w:ascii="宋体" w:hAnsi="宋体" w:cs="宋体"/>
                <w:color w:val="000000" w:themeColor="text1"/>
                <w:kern w:val="0"/>
                <w:sz w:val="18"/>
                <w:szCs w:val="18"/>
                <w:lang w:val="en-US" w:eastAsia="zh-CN" w:bidi="ar"/>
                <w14:textFill>
                  <w14:solidFill>
                    <w14:schemeClr w14:val="tx1"/>
                  </w14:solidFill>
                </w14:textFill>
              </w:rPr>
              <w:t>0分）</w:t>
            </w:r>
          </w:p>
        </w:tc>
        <w:tc>
          <w:tcPr>
            <w:tcW w:w="5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2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19" w:hRule="atLeast"/>
          <w:jc w:val="center"/>
        </w:trPr>
        <w:tc>
          <w:tcPr>
            <w:tcW w:w="41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617"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1110" w:type="dxa"/>
            <w:vMerge w:val="continue"/>
            <w:tcBorders>
              <w:left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4556"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根据业务需要进行日常基础数据梳理和汇总，互动礼品登记邮寄，客户留言回复，线索分类统计等基础运营事宜，保证准确度和及时性（1分）</w:t>
            </w:r>
          </w:p>
        </w:tc>
        <w:tc>
          <w:tcPr>
            <w:tcW w:w="5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2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65" w:hRule="atLeast"/>
          <w:jc w:val="center"/>
        </w:trPr>
        <w:tc>
          <w:tcPr>
            <w:tcW w:w="41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617"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1110" w:type="dxa"/>
            <w:vMerge w:val="continue"/>
            <w:tcBorders>
              <w:left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4556"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根据业务需要进行日常基础数据梳理和汇总，互动礼品登记邮寄，客户留言回复，线索分类统计等基础运营事宜，未能保证准确度和及时性，如出现1次扣1分（0分）</w:t>
            </w:r>
          </w:p>
        </w:tc>
        <w:tc>
          <w:tcPr>
            <w:tcW w:w="5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2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1194" w:hRule="atLeast"/>
          <w:jc w:val="center"/>
        </w:trPr>
        <w:tc>
          <w:tcPr>
            <w:tcW w:w="41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617"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1110"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p>
        </w:tc>
        <w:tc>
          <w:tcPr>
            <w:tcW w:w="4556"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服务团队按合同要求执行，在岗人员数量符合要求，团队人员稳定，无不合格人员存在（1分）</w:t>
            </w:r>
          </w:p>
        </w:tc>
        <w:tc>
          <w:tcPr>
            <w:tcW w:w="5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2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37" w:hRule="atLeast"/>
          <w:jc w:val="center"/>
        </w:trPr>
        <w:tc>
          <w:tcPr>
            <w:tcW w:w="41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617"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1110" w:type="dxa"/>
            <w:vMerge w:val="continue"/>
            <w:tcBorders>
              <w:left w:val="single" w:color="000000" w:sz="4" w:space="0"/>
              <w:bottom w:val="single" w:color="auto"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4556"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服务团队未按合同要求执行，在岗人员数量未符合要求或未经允许随意变动或存在不合格人员，每出现一人扣1分（0分）</w:t>
            </w:r>
          </w:p>
        </w:tc>
        <w:tc>
          <w:tcPr>
            <w:tcW w:w="541"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2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65" w:hRule="atLeast"/>
          <w:jc w:val="center"/>
        </w:trPr>
        <w:tc>
          <w:tcPr>
            <w:tcW w:w="41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617"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1110" w:type="dxa"/>
            <w:vMerge w:val="restart"/>
            <w:tcBorders>
              <w:top w:val="single" w:color="auto" w:sz="4" w:space="0"/>
              <w:left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提供培训（4分）</w:t>
            </w:r>
          </w:p>
        </w:tc>
        <w:tc>
          <w:tcPr>
            <w:tcW w:w="4556"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服务团队分工明确，业务执行责任到人，确保执行到位（1分）</w:t>
            </w:r>
          </w:p>
        </w:tc>
        <w:tc>
          <w:tcPr>
            <w:tcW w:w="541" w:type="dxa"/>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2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559" w:hRule="atLeast"/>
          <w:jc w:val="center"/>
        </w:trPr>
        <w:tc>
          <w:tcPr>
            <w:tcW w:w="41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617"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1110" w:type="dxa"/>
            <w:vMerge w:val="continue"/>
            <w:tcBorders>
              <w:left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4556"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服务团队分工未明确或业务责任未明确，每出现1处扣1分（0分）</w:t>
            </w:r>
          </w:p>
        </w:tc>
        <w:tc>
          <w:tcPr>
            <w:tcW w:w="541" w:type="dxa"/>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2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698" w:hRule="atLeast"/>
          <w:jc w:val="center"/>
        </w:trPr>
        <w:tc>
          <w:tcPr>
            <w:tcW w:w="41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617"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1110" w:type="dxa"/>
            <w:vMerge w:val="continue"/>
            <w:tcBorders>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p>
        </w:tc>
        <w:tc>
          <w:tcPr>
            <w:tcW w:w="4556"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认真准备培训内容，培训内容必须包含但不仅限于短视频和直播涉及的专业技能、账号运营思路、各个平台短视频，直播投流方法、视频制作技巧、直播话术指导、账号数据分析和复盘（</w:t>
            </w:r>
            <w:r>
              <w:rPr>
                <w:rFonts w:hint="eastAsia" w:ascii="宋体" w:hAnsi="宋体" w:cs="宋体"/>
                <w:color w:val="000000" w:themeColor="text1"/>
                <w:kern w:val="0"/>
                <w:sz w:val="18"/>
                <w:szCs w:val="18"/>
                <w:lang w:val="en-US" w:eastAsia="zh-CN" w:bidi="ar"/>
                <w14:textFill>
                  <w14:solidFill>
                    <w14:schemeClr w14:val="tx1"/>
                  </w14:solidFill>
                </w14:textFill>
              </w:rPr>
              <w:t>3</w:t>
            </w:r>
            <w:r>
              <w:rPr>
                <w:rFonts w:hint="eastAsia" w:ascii="宋体" w:hAnsi="宋体" w:cs="宋体"/>
                <w:color w:val="000000" w:themeColor="text1"/>
                <w:kern w:val="0"/>
                <w:sz w:val="18"/>
                <w:szCs w:val="18"/>
                <w:lang w:bidi="ar"/>
                <w14:textFill>
                  <w14:solidFill>
                    <w14:schemeClr w14:val="tx1"/>
                  </w14:solidFill>
                </w14:textFill>
              </w:rPr>
              <w:t>分）</w:t>
            </w:r>
          </w:p>
        </w:tc>
        <w:tc>
          <w:tcPr>
            <w:tcW w:w="541" w:type="dxa"/>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2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834" w:hRule="atLeast"/>
          <w:jc w:val="center"/>
        </w:trPr>
        <w:tc>
          <w:tcPr>
            <w:tcW w:w="41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617"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1110"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工作沟通（2分）</w:t>
            </w:r>
          </w:p>
        </w:tc>
        <w:tc>
          <w:tcPr>
            <w:tcW w:w="4556"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服务团队准备的培训内容，培训内容必须包含但不仅限于短视频和直播涉及的专业技能、账号运营思路、各个平台短视频，直播投流方法、视频制作技巧、直播话术指导、账号数据分析和复盘，要求不少于每个月2次，每个月少一次扣</w:t>
            </w:r>
            <w:r>
              <w:rPr>
                <w:rFonts w:hint="eastAsia" w:ascii="宋体" w:hAnsi="宋体" w:cs="宋体"/>
                <w:color w:val="000000" w:themeColor="text1"/>
                <w:kern w:val="0"/>
                <w:sz w:val="18"/>
                <w:szCs w:val="18"/>
                <w:lang w:val="en-US" w:eastAsia="zh-CN" w:bidi="ar"/>
                <w14:textFill>
                  <w14:solidFill>
                    <w14:schemeClr w14:val="tx1"/>
                  </w14:solidFill>
                </w14:textFill>
              </w:rPr>
              <w:t>2</w:t>
            </w:r>
            <w:r>
              <w:rPr>
                <w:rFonts w:hint="eastAsia" w:ascii="宋体" w:hAnsi="宋体" w:cs="宋体"/>
                <w:color w:val="000000" w:themeColor="text1"/>
                <w:kern w:val="0"/>
                <w:sz w:val="18"/>
                <w:szCs w:val="18"/>
                <w:lang w:bidi="ar"/>
                <w14:textFill>
                  <w14:solidFill>
                    <w14:schemeClr w14:val="tx1"/>
                  </w14:solidFill>
                </w14:textFill>
              </w:rPr>
              <w:t>分（0分）</w:t>
            </w:r>
          </w:p>
        </w:tc>
        <w:tc>
          <w:tcPr>
            <w:tcW w:w="541"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2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89" w:hRule="atLeast"/>
          <w:jc w:val="center"/>
        </w:trPr>
        <w:tc>
          <w:tcPr>
            <w:tcW w:w="41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617"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1110"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p>
        </w:tc>
        <w:tc>
          <w:tcPr>
            <w:tcW w:w="4556"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服务团队对客户的需求及时响应，且态度积极（</w:t>
            </w:r>
            <w:r>
              <w:rPr>
                <w:rFonts w:hint="eastAsia" w:ascii="宋体" w:hAnsi="宋体" w:cs="宋体"/>
                <w:color w:val="000000" w:themeColor="text1"/>
                <w:kern w:val="0"/>
                <w:sz w:val="18"/>
                <w:szCs w:val="18"/>
                <w:lang w:val="en-US" w:eastAsia="zh-CN" w:bidi="ar"/>
                <w14:textFill>
                  <w14:solidFill>
                    <w14:schemeClr w14:val="tx1"/>
                  </w14:solidFill>
                </w14:textFill>
              </w:rPr>
              <w:t>2</w:t>
            </w:r>
            <w:r>
              <w:rPr>
                <w:rFonts w:hint="eastAsia" w:ascii="宋体" w:hAnsi="宋体" w:cs="宋体"/>
                <w:color w:val="000000" w:themeColor="text1"/>
                <w:kern w:val="0"/>
                <w:sz w:val="18"/>
                <w:szCs w:val="18"/>
                <w:lang w:bidi="ar"/>
                <w14:textFill>
                  <w14:solidFill>
                    <w14:schemeClr w14:val="tx1"/>
                  </w14:solidFill>
                </w14:textFill>
              </w:rPr>
              <w:t>分）</w:t>
            </w:r>
          </w:p>
        </w:tc>
        <w:tc>
          <w:tcPr>
            <w:tcW w:w="5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2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511" w:hRule="atLeast"/>
          <w:jc w:val="center"/>
        </w:trPr>
        <w:tc>
          <w:tcPr>
            <w:tcW w:w="41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617"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1110" w:type="dxa"/>
            <w:vMerge w:val="restart"/>
            <w:tcBorders>
              <w:top w:val="single" w:color="000000" w:sz="4" w:space="0"/>
              <w:left w:val="single" w:color="000000" w:sz="4" w:space="0"/>
              <w:right w:val="single" w:color="000000" w:sz="4" w:space="0"/>
            </w:tcBorders>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其他</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eastAsia="zh-CN" w:bidi="ar"/>
                <w14:textFill>
                  <w14:solidFill>
                    <w14:schemeClr w14:val="tx1"/>
                  </w14:solidFill>
                </w14:textFill>
              </w:rPr>
              <w:t>（</w:t>
            </w:r>
            <w:r>
              <w:rPr>
                <w:rFonts w:hint="eastAsia" w:ascii="宋体" w:hAnsi="宋体" w:cs="宋体"/>
                <w:color w:val="000000" w:themeColor="text1"/>
                <w:kern w:val="0"/>
                <w:sz w:val="18"/>
                <w:szCs w:val="18"/>
                <w:lang w:val="en-US" w:eastAsia="zh-CN" w:bidi="ar"/>
                <w14:textFill>
                  <w14:solidFill>
                    <w14:schemeClr w14:val="tx1"/>
                  </w14:solidFill>
                </w14:textFill>
              </w:rPr>
              <w:t>2分）</w:t>
            </w:r>
          </w:p>
        </w:tc>
        <w:tc>
          <w:tcPr>
            <w:tcW w:w="4556"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服务团队对客户的需求不及时响应，态度倦怠，每出现1次扣1分（0分）</w:t>
            </w:r>
          </w:p>
        </w:tc>
        <w:tc>
          <w:tcPr>
            <w:tcW w:w="541" w:type="dxa"/>
            <w:vMerge w:val="restart"/>
            <w:tcBorders>
              <w:top w:val="single" w:color="000000" w:sz="4" w:space="0"/>
              <w:left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2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559" w:hRule="atLeast"/>
          <w:jc w:val="center"/>
        </w:trPr>
        <w:tc>
          <w:tcPr>
            <w:tcW w:w="41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617" w:type="dxa"/>
            <w:vMerge w:val="continue"/>
            <w:tcBorders>
              <w:top w:val="nil"/>
              <w:left w:val="single" w:color="000000" w:sz="4" w:space="0"/>
              <w:bottom w:val="single" w:color="auto"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1110" w:type="dxa"/>
            <w:vMerge w:val="continue"/>
            <w:tcBorders>
              <w:left w:val="single" w:color="000000" w:sz="4" w:space="0"/>
              <w:bottom w:val="single" w:color="auto"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4556"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服务团队按要求召开工作沟通会，无无故缺席和迟到现象（</w:t>
            </w:r>
            <w:r>
              <w:rPr>
                <w:rFonts w:hint="eastAsia" w:ascii="宋体" w:hAnsi="宋体" w:cs="宋体"/>
                <w:color w:val="000000" w:themeColor="text1"/>
                <w:kern w:val="0"/>
                <w:sz w:val="18"/>
                <w:szCs w:val="18"/>
                <w:lang w:val="en-US" w:eastAsia="zh-CN" w:bidi="ar"/>
                <w14:textFill>
                  <w14:solidFill>
                    <w14:schemeClr w14:val="tx1"/>
                  </w14:solidFill>
                </w14:textFill>
              </w:rPr>
              <w:t>2</w:t>
            </w:r>
            <w:r>
              <w:rPr>
                <w:rFonts w:hint="eastAsia" w:ascii="宋体" w:hAnsi="宋体" w:cs="宋体"/>
                <w:color w:val="000000" w:themeColor="text1"/>
                <w:kern w:val="0"/>
                <w:sz w:val="18"/>
                <w:szCs w:val="18"/>
                <w:lang w:bidi="ar"/>
                <w14:textFill>
                  <w14:solidFill>
                    <w14:schemeClr w14:val="tx1"/>
                  </w14:solidFill>
                </w14:textFill>
              </w:rPr>
              <w:t>分）</w:t>
            </w:r>
          </w:p>
        </w:tc>
        <w:tc>
          <w:tcPr>
            <w:tcW w:w="541" w:type="dxa"/>
            <w:vMerge w:val="continue"/>
            <w:tcBorders>
              <w:left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2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559" w:hRule="atLeast"/>
          <w:jc w:val="center"/>
        </w:trPr>
        <w:tc>
          <w:tcPr>
            <w:tcW w:w="41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617" w:type="dxa"/>
            <w:vMerge w:val="continue"/>
            <w:tcBorders>
              <w:top w:val="single" w:color="auto"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1110"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4556"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服务团队未按要求参加会议或有无故缺席或迟到现象，每出现1次扣1分（0分）</w:t>
            </w:r>
          </w:p>
        </w:tc>
        <w:tc>
          <w:tcPr>
            <w:tcW w:w="541" w:type="dxa"/>
            <w:vMerge w:val="restart"/>
            <w:tcBorders>
              <w:top w:val="single" w:color="000000" w:sz="4" w:space="0"/>
              <w:left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2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559" w:hRule="atLeast"/>
          <w:jc w:val="center"/>
        </w:trPr>
        <w:tc>
          <w:tcPr>
            <w:tcW w:w="41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617"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1110" w:type="dxa"/>
            <w:vMerge w:val="continue"/>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themeColor="text1"/>
                <w:sz w:val="18"/>
                <w:szCs w:val="18"/>
                <w14:textFill>
                  <w14:solidFill>
                    <w14:schemeClr w14:val="tx1"/>
                  </w14:solidFill>
                </w14:textFill>
              </w:rPr>
            </w:pPr>
          </w:p>
        </w:tc>
        <w:tc>
          <w:tcPr>
            <w:tcW w:w="4556"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对外重大发布活动中的所有图文材料注重版本管理，</w:t>
            </w:r>
            <w:r>
              <w:rPr>
                <w:rFonts w:hint="eastAsia" w:ascii="宋体" w:hAnsi="宋体" w:cs="宋体"/>
                <w:color w:val="000000" w:themeColor="text1"/>
                <w:kern w:val="0"/>
                <w:sz w:val="18"/>
                <w:szCs w:val="18"/>
                <w:lang w:val="en-US" w:eastAsia="zh-CN" w:bidi="ar"/>
                <w14:textFill>
                  <w14:solidFill>
                    <w14:schemeClr w14:val="tx1"/>
                  </w14:solidFill>
                </w14:textFill>
              </w:rPr>
              <w:t>实行检查</w:t>
            </w:r>
            <w:r>
              <w:rPr>
                <w:rFonts w:hint="eastAsia" w:ascii="宋体" w:hAnsi="宋体" w:cs="宋体"/>
                <w:color w:val="000000" w:themeColor="text1"/>
                <w:kern w:val="0"/>
                <w:sz w:val="18"/>
                <w:szCs w:val="18"/>
                <w:lang w:bidi="ar"/>
                <w14:textFill>
                  <w14:solidFill>
                    <w14:schemeClr w14:val="tx1"/>
                  </w14:solidFill>
                </w14:textFill>
              </w:rPr>
              <w:t>机制，最终呈现材料严禁出现错别字或排版问题，如若出现1次将扣除当月月费。</w:t>
            </w:r>
          </w:p>
        </w:tc>
        <w:tc>
          <w:tcPr>
            <w:tcW w:w="541" w:type="dxa"/>
            <w:vMerge w:val="continue"/>
            <w:tcBorders>
              <w:left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2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1658" w:hRule="atLeast"/>
          <w:jc w:val="center"/>
        </w:trPr>
        <w:tc>
          <w:tcPr>
            <w:tcW w:w="41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617"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2999" w:type="dxa"/>
            <w:gridSpan w:val="4"/>
            <w:vMerge w:val="restart"/>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2667" w:type="dxa"/>
            <w:gridSpan w:val="2"/>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对于该项目服务范围内的临时工作不接纳1次扣分5分，此项不受限制（减5分/次）</w:t>
            </w:r>
          </w:p>
        </w:tc>
        <w:tc>
          <w:tcPr>
            <w:tcW w:w="541"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2045"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834" w:hRule="atLeast"/>
          <w:jc w:val="center"/>
        </w:trPr>
        <w:tc>
          <w:tcPr>
            <w:tcW w:w="417"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617"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2999"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26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themeColor="text1"/>
                <w:sz w:val="18"/>
                <w:szCs w:val="18"/>
                <w14:textFill>
                  <w14:solidFill>
                    <w14:schemeClr w14:val="tx1"/>
                  </w14:solidFill>
                </w14:textFill>
              </w:rPr>
            </w:pPr>
          </w:p>
        </w:tc>
        <w:tc>
          <w:tcPr>
            <w:tcW w:w="5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2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287" w:hRule="atLeast"/>
          <w:jc w:val="center"/>
        </w:trPr>
        <w:tc>
          <w:tcPr>
            <w:tcW w:w="670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kern w:val="0"/>
                <w:sz w:val="18"/>
                <w:szCs w:val="18"/>
                <w:lang w:bidi="ar"/>
                <w14:textFill>
                  <w14:solidFill>
                    <w14:schemeClr w14:val="tx1"/>
                  </w14:solidFill>
                </w14:textFill>
              </w:rPr>
              <w:t>月度合计得分</w:t>
            </w:r>
          </w:p>
        </w:tc>
        <w:tc>
          <w:tcPr>
            <w:tcW w:w="258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348" w:hRule="atLeast"/>
          <w:jc w:val="center"/>
        </w:trPr>
        <w:tc>
          <w:tcPr>
            <w:tcW w:w="670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kern w:val="0"/>
                <w:sz w:val="18"/>
                <w:szCs w:val="18"/>
                <w:lang w:bidi="ar"/>
                <w14:textFill>
                  <w14:solidFill>
                    <w14:schemeClr w14:val="tx1"/>
                  </w14:solidFill>
                </w14:textFill>
              </w:rPr>
              <w:t>月度应得服务费用</w:t>
            </w:r>
          </w:p>
        </w:tc>
        <w:tc>
          <w:tcPr>
            <w:tcW w:w="258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14:textFill>
                  <w14:solidFill>
                    <w14:schemeClr w14:val="tx1"/>
                  </w14:solidFill>
                </w14:textFill>
              </w:rPr>
            </w:pPr>
          </w:p>
        </w:tc>
      </w:tr>
      <w:bookmarkEnd w:id="11"/>
    </w:tbl>
    <w:tbl>
      <w:tblPr>
        <w:tblStyle w:val="10"/>
        <w:tblpPr w:leftFromText="180" w:rightFromText="180" w:vertAnchor="text" w:tblpX="10596" w:tblpY="28339"/>
        <w:tblOverlap w:val="never"/>
        <w:tblW w:w="2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490" w:type="dxa"/>
          </w:tcPr>
          <w:p>
            <w:pPr>
              <w:rPr>
                <w:rFonts w:hint="eastAsia" w:ascii="宋体" w:hAnsi="宋体" w:cs="宋体"/>
                <w:color w:val="000000"/>
                <w:sz w:val="24"/>
                <w:vertAlign w:val="baseline"/>
              </w:rPr>
            </w:pPr>
          </w:p>
        </w:tc>
      </w:tr>
    </w:tbl>
    <w:p>
      <w:pPr>
        <w:rPr>
          <w:rFonts w:hint="eastAsia" w:ascii="宋体" w:hAnsi="宋体" w:cs="宋体"/>
          <w:color w:val="000000"/>
          <w:sz w:val="24"/>
        </w:rPr>
      </w:pPr>
    </w:p>
    <w:p>
      <w:pPr>
        <w:numPr>
          <w:ilvl w:val="0"/>
          <w:numId w:val="27"/>
        </w:numPr>
        <w:spacing w:line="360" w:lineRule="auto"/>
        <w:rPr>
          <w:rFonts w:hint="eastAsia" w:ascii="宋体" w:hAnsi="宋体" w:cs="宋体"/>
          <w:color w:val="000000"/>
          <w:szCs w:val="21"/>
        </w:rPr>
      </w:pPr>
      <w:r>
        <w:rPr>
          <w:rFonts w:hint="eastAsia" w:ascii="宋体" w:hAnsi="宋体" w:cs="宋体"/>
          <w:color w:val="000000"/>
          <w:szCs w:val="21"/>
        </w:rPr>
        <w:t>该评分表以月度为周期进行评分，由甲方每月度评价上月度得分情况，满分为100分，双方确认后签字盖章。</w:t>
      </w:r>
    </w:p>
    <w:p>
      <w:pPr>
        <w:numPr>
          <w:ilvl w:val="0"/>
          <w:numId w:val="27"/>
        </w:numPr>
        <w:spacing w:line="360" w:lineRule="auto"/>
        <w:rPr>
          <w:rFonts w:hint="eastAsia" w:ascii="宋体" w:hAnsi="宋体" w:cs="宋体"/>
          <w:color w:val="000000"/>
          <w:szCs w:val="21"/>
        </w:rPr>
      </w:pPr>
      <w:r>
        <w:rPr>
          <w:rFonts w:hint="eastAsia" w:ascii="宋体" w:hAnsi="宋体" w:cs="宋体"/>
          <w:color w:val="000000"/>
          <w:szCs w:val="21"/>
        </w:rPr>
        <w:t>月度评分机制：</w:t>
      </w:r>
    </w:p>
    <w:p>
      <w:pPr>
        <w:numPr>
          <w:ilvl w:val="0"/>
          <w:numId w:val="28"/>
        </w:num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月度得分≥90分为优秀，不扣除该月月度服务费用；</w:t>
      </w:r>
    </w:p>
    <w:p>
      <w:pPr>
        <w:numPr>
          <w:ilvl w:val="0"/>
          <w:numId w:val="28"/>
        </w:num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60分≤月度得分＜90分，月度实际服务费用（含税）=月度得分/100分*XX元；</w:t>
      </w:r>
    </w:p>
    <w:p>
      <w:pPr>
        <w:numPr>
          <w:ilvl w:val="0"/>
          <w:numId w:val="28"/>
        </w:num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月度得分＜60分，甲方扣除月度执行费用全部金额。</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如果月度得分在90分以下，乙方可在收到甲方评分之后，发生扣款行为之前，针对打分情况向甲方提出申诉，甲方在充分考虑乙方的申诉理由之后予以重新打分。</w:t>
      </w:r>
    </w:p>
    <w:p>
      <w:pPr>
        <w:numPr>
          <w:ilvl w:val="0"/>
          <w:numId w:val="27"/>
        </w:numPr>
        <w:spacing w:line="360" w:lineRule="auto"/>
        <w:rPr>
          <w:rFonts w:hint="eastAsia" w:ascii="宋体" w:hAnsi="宋体" w:cs="宋体"/>
          <w:color w:val="000000"/>
          <w:szCs w:val="21"/>
        </w:rPr>
      </w:pPr>
      <w:r>
        <w:rPr>
          <w:rFonts w:hint="eastAsia" w:ascii="宋体" w:hAnsi="宋体" w:cs="宋体"/>
          <w:color w:val="000000"/>
          <w:szCs w:val="21"/>
        </w:rPr>
        <w:t>连续2个月得分为60分以下，则甲方有权解除合同。</w:t>
      </w:r>
    </w:p>
    <w:p>
      <w:pPr>
        <w:rPr>
          <w:rFonts w:hint="eastAsia" w:ascii="宋体" w:hAnsi="宋体" w:cs="宋体"/>
          <w:szCs w:val="21"/>
        </w:rPr>
      </w:pPr>
      <w:r>
        <w:rPr>
          <w:rFonts w:hint="eastAsia" w:ascii="宋体" w:hAnsi="宋体" w:cs="宋体"/>
          <w:szCs w:val="21"/>
        </w:rPr>
        <w:br w:type="page"/>
      </w:r>
    </w:p>
    <w:p>
      <w:pPr>
        <w:rPr>
          <w:rFonts w:hint="eastAsia" w:ascii="宋体" w:hAnsi="宋体" w:cs="宋体"/>
          <w:b/>
          <w:bCs/>
          <w:color w:val="000000"/>
          <w:sz w:val="24"/>
        </w:rPr>
      </w:pPr>
      <w:r>
        <w:rPr>
          <w:rFonts w:hint="eastAsia" w:ascii="宋体" w:hAnsi="宋体" w:cs="宋体"/>
          <w:b/>
          <w:bCs/>
          <w:color w:val="000000"/>
          <w:sz w:val="24"/>
        </w:rPr>
        <w:t>附件5</w:t>
      </w:r>
    </w:p>
    <w:p>
      <w:pPr>
        <w:jc w:val="center"/>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中国重汽集团济南专用车有限公司新媒体平台直播和短视频运营项目</w:t>
      </w:r>
    </w:p>
    <w:p>
      <w:pPr>
        <w:jc w:val="center"/>
        <w:rPr>
          <w:rFonts w:hint="eastAsia" w:ascii="宋体" w:hAnsi="宋体" w:cs="宋体"/>
          <w:b/>
          <w:bCs/>
          <w:color w:val="000000"/>
          <w:sz w:val="24"/>
        </w:rPr>
      </w:pPr>
      <w:r>
        <w:rPr>
          <w:rFonts w:hint="eastAsia" w:ascii="宋体" w:hAnsi="宋体" w:cs="宋体"/>
          <w:b/>
          <w:bCs/>
          <w:color w:val="000000" w:themeColor="text1"/>
          <w:sz w:val="24"/>
          <w:szCs w:val="24"/>
          <w14:textFill>
            <w14:solidFill>
              <w14:schemeClr w14:val="tx1"/>
            </w14:solidFill>
          </w14:textFill>
        </w:rPr>
        <w:t>——年度服务KPI评分表</w:t>
      </w:r>
    </w:p>
    <w:tbl>
      <w:tblPr>
        <w:tblStyle w:val="9"/>
        <w:tblpPr w:leftFromText="180" w:rightFromText="180" w:vertAnchor="text" w:horzAnchor="page" w:tblpXSpec="center" w:tblpY="296"/>
        <w:tblOverlap w:val="never"/>
        <w:tblW w:w="5288" w:type="pct"/>
        <w:jc w:val="center"/>
        <w:tblLayout w:type="fixed"/>
        <w:tblCellMar>
          <w:top w:w="0" w:type="dxa"/>
          <w:left w:w="108" w:type="dxa"/>
          <w:bottom w:w="0" w:type="dxa"/>
          <w:right w:w="108" w:type="dxa"/>
        </w:tblCellMar>
      </w:tblPr>
      <w:tblGrid>
        <w:gridCol w:w="693"/>
        <w:gridCol w:w="933"/>
        <w:gridCol w:w="2216"/>
        <w:gridCol w:w="782"/>
        <w:gridCol w:w="1421"/>
        <w:gridCol w:w="742"/>
        <w:gridCol w:w="2212"/>
        <w:gridCol w:w="823"/>
      </w:tblGrid>
      <w:tr>
        <w:tblPrEx>
          <w:tblCellMar>
            <w:top w:w="0" w:type="dxa"/>
            <w:left w:w="108" w:type="dxa"/>
            <w:bottom w:w="0" w:type="dxa"/>
            <w:right w:w="108" w:type="dxa"/>
          </w:tblCellMar>
        </w:tblPrEx>
        <w:trPr>
          <w:trHeight w:val="313"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宋体" w:hAnsi="宋体" w:cs="宋体"/>
                <w:b/>
                <w:bCs/>
                <w:color w:val="000000"/>
                <w:sz w:val="20"/>
              </w:rPr>
            </w:pPr>
            <w:r>
              <w:rPr>
                <w:rFonts w:hint="eastAsia" w:ascii="宋体" w:hAnsi="宋体" w:cs="宋体"/>
                <w:b/>
                <w:bCs/>
                <w:color w:val="000000"/>
                <w:kern w:val="0"/>
                <w:sz w:val="20"/>
                <w:lang w:bidi="ar"/>
              </w:rPr>
              <w:t>序号</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 w:val="20"/>
              </w:rPr>
            </w:pPr>
            <w:r>
              <w:rPr>
                <w:rFonts w:hint="eastAsia" w:ascii="宋体" w:hAnsi="宋体" w:cs="宋体"/>
                <w:b/>
                <w:bCs/>
                <w:color w:val="000000"/>
                <w:kern w:val="0"/>
                <w:sz w:val="20"/>
                <w:lang w:bidi="ar"/>
              </w:rPr>
              <w:t>类别</w:t>
            </w:r>
          </w:p>
        </w:tc>
        <w:tc>
          <w:tcPr>
            <w:tcW w:w="11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 w:val="20"/>
              </w:rPr>
            </w:pPr>
            <w:r>
              <w:rPr>
                <w:rFonts w:hint="eastAsia" w:ascii="宋体" w:hAnsi="宋体" w:cs="宋体"/>
                <w:b/>
                <w:bCs/>
                <w:color w:val="000000"/>
                <w:kern w:val="0"/>
                <w:sz w:val="20"/>
                <w:lang w:bidi="ar"/>
              </w:rPr>
              <w:t>内容</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 w:val="20"/>
              </w:rPr>
            </w:pPr>
            <w:r>
              <w:rPr>
                <w:rFonts w:hint="eastAsia" w:ascii="宋体" w:hAnsi="宋体" w:cs="宋体"/>
                <w:b/>
                <w:bCs/>
                <w:color w:val="000000"/>
                <w:kern w:val="0"/>
                <w:sz w:val="20"/>
                <w:lang w:bidi="ar"/>
              </w:rPr>
              <w:t>KPI</w:t>
            </w:r>
          </w:p>
        </w:tc>
        <w:tc>
          <w:tcPr>
            <w:tcW w:w="72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 w:val="20"/>
              </w:rPr>
            </w:pPr>
            <w:r>
              <w:rPr>
                <w:rFonts w:hint="eastAsia" w:ascii="宋体" w:hAnsi="宋体" w:cs="宋体"/>
                <w:b/>
                <w:bCs/>
                <w:color w:val="000000"/>
                <w:kern w:val="0"/>
                <w:sz w:val="20"/>
                <w:lang w:bidi="ar"/>
              </w:rPr>
              <w:t>平台</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 w:val="20"/>
              </w:rPr>
            </w:pPr>
            <w:r>
              <w:rPr>
                <w:rFonts w:hint="eastAsia" w:ascii="宋体" w:hAnsi="宋体" w:cs="宋体"/>
                <w:b/>
                <w:bCs/>
                <w:color w:val="000000"/>
                <w:kern w:val="0"/>
                <w:sz w:val="20"/>
                <w:lang w:bidi="ar"/>
              </w:rPr>
              <w:t>备注</w:t>
            </w:r>
          </w:p>
        </w:tc>
        <w:tc>
          <w:tcPr>
            <w:tcW w:w="11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 w:val="20"/>
              </w:rPr>
            </w:pPr>
            <w:r>
              <w:rPr>
                <w:rFonts w:hint="eastAsia" w:ascii="宋体" w:hAnsi="宋体" w:cs="宋体"/>
                <w:b/>
                <w:bCs/>
                <w:color w:val="000000"/>
                <w:kern w:val="0"/>
                <w:sz w:val="20"/>
                <w:lang w:bidi="ar"/>
              </w:rPr>
              <w:t>得分计算方式</w:t>
            </w:r>
          </w:p>
        </w:tc>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 w:val="20"/>
              </w:rPr>
            </w:pPr>
            <w:r>
              <w:rPr>
                <w:rFonts w:hint="eastAsia" w:ascii="宋体" w:hAnsi="宋体" w:cs="宋体"/>
                <w:b/>
                <w:bCs/>
                <w:color w:val="000000"/>
                <w:kern w:val="0"/>
                <w:sz w:val="20"/>
                <w:lang w:bidi="ar"/>
              </w:rPr>
              <w:t>实际得分</w:t>
            </w:r>
          </w:p>
        </w:tc>
      </w:tr>
      <w:tr>
        <w:tblPrEx>
          <w:tblCellMar>
            <w:top w:w="0" w:type="dxa"/>
            <w:left w:w="108" w:type="dxa"/>
            <w:bottom w:w="0" w:type="dxa"/>
            <w:right w:w="108" w:type="dxa"/>
          </w:tblCellMar>
        </w:tblPrEx>
        <w:trPr>
          <w:trHeight w:val="616" w:hRule="atLeast"/>
          <w:jc w:val="center"/>
        </w:trPr>
        <w:tc>
          <w:tcPr>
            <w:tcW w:w="352"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474"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短视频（45分）</w:t>
            </w:r>
          </w:p>
        </w:tc>
        <w:tc>
          <w:tcPr>
            <w:tcW w:w="112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发布独立短视频总数量（10分）</w:t>
            </w:r>
          </w:p>
        </w:tc>
        <w:tc>
          <w:tcPr>
            <w:tcW w:w="39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r>
              <w:rPr>
                <w:rFonts w:hint="eastAsia" w:ascii="宋体" w:hAnsi="宋体" w:cs="宋体"/>
                <w:color w:val="000000"/>
                <w:kern w:val="0"/>
                <w:sz w:val="18"/>
                <w:szCs w:val="18"/>
                <w:lang w:val="en-US" w:eastAsia="zh-CN" w:bidi="ar"/>
              </w:rPr>
              <w:t>120</w:t>
            </w:r>
            <w:r>
              <w:rPr>
                <w:rFonts w:hint="eastAsia" w:ascii="宋体" w:hAnsi="宋体" w:cs="宋体"/>
                <w:color w:val="000000"/>
                <w:kern w:val="0"/>
                <w:sz w:val="18"/>
                <w:szCs w:val="18"/>
                <w:lang w:bidi="ar"/>
              </w:rPr>
              <w:t>条</w:t>
            </w:r>
          </w:p>
        </w:tc>
        <w:tc>
          <w:tcPr>
            <w:tcW w:w="72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单平台总数</w:t>
            </w:r>
          </w:p>
        </w:tc>
        <w:tc>
          <w:tcPr>
            <w:tcW w:w="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w:t>
            </w:r>
          </w:p>
        </w:tc>
        <w:tc>
          <w:tcPr>
            <w:tcW w:w="1126"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实际独立视频发布数量/1</w:t>
            </w:r>
            <w:r>
              <w:rPr>
                <w:rFonts w:hint="eastAsia" w:ascii="宋体" w:hAnsi="宋体" w:cs="宋体"/>
                <w:color w:val="000000"/>
                <w:kern w:val="0"/>
                <w:sz w:val="18"/>
                <w:szCs w:val="18"/>
                <w:lang w:val="en-US" w:eastAsia="zh-CN" w:bidi="ar"/>
              </w:rPr>
              <w:t>20</w:t>
            </w:r>
            <w:r>
              <w:rPr>
                <w:rFonts w:hint="eastAsia" w:ascii="宋体" w:hAnsi="宋体" w:cs="宋体"/>
                <w:color w:val="000000"/>
                <w:kern w:val="0"/>
                <w:sz w:val="18"/>
                <w:szCs w:val="18"/>
                <w:lang w:bidi="ar"/>
              </w:rPr>
              <w:t>条×10分</w:t>
            </w:r>
          </w:p>
        </w:tc>
        <w:tc>
          <w:tcPr>
            <w:tcW w:w="418"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0"/>
              </w:rPr>
            </w:pPr>
          </w:p>
        </w:tc>
      </w:tr>
      <w:tr>
        <w:tblPrEx>
          <w:tblCellMar>
            <w:top w:w="0" w:type="dxa"/>
            <w:left w:w="108" w:type="dxa"/>
            <w:bottom w:w="0" w:type="dxa"/>
            <w:right w:w="108" w:type="dxa"/>
          </w:tblCellMar>
        </w:tblPrEx>
        <w:trPr>
          <w:trHeight w:val="616" w:hRule="atLeast"/>
          <w:jc w:val="center"/>
        </w:trPr>
        <w:tc>
          <w:tcPr>
            <w:tcW w:w="352" w:type="pct"/>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0"/>
                <w:lang w:bidi="ar"/>
              </w:rPr>
            </w:pPr>
          </w:p>
        </w:tc>
        <w:tc>
          <w:tcPr>
            <w:tcW w:w="474" w:type="pct"/>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p>
        </w:tc>
        <w:tc>
          <w:tcPr>
            <w:tcW w:w="112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themeColor="text1"/>
                <w:kern w:val="0"/>
                <w:sz w:val="18"/>
                <w:szCs w:val="18"/>
                <w:lang w:bidi="ar"/>
                <w14:textFill>
                  <w14:solidFill>
                    <w14:schemeClr w14:val="tx1"/>
                  </w14:solidFill>
                </w14:textFill>
              </w:rPr>
              <w:t>协助发布短视频总数量（5分）</w:t>
            </w:r>
          </w:p>
        </w:tc>
        <w:tc>
          <w:tcPr>
            <w:tcW w:w="39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t>
            </w:r>
            <w:r>
              <w:rPr>
                <w:rFonts w:hint="eastAsia" w:ascii="宋体" w:hAnsi="宋体" w:cs="宋体"/>
                <w:color w:val="000000"/>
                <w:kern w:val="0"/>
                <w:sz w:val="18"/>
                <w:szCs w:val="18"/>
                <w:lang w:val="en-US" w:eastAsia="zh-CN" w:bidi="ar"/>
              </w:rPr>
              <w:t>72</w:t>
            </w:r>
            <w:r>
              <w:rPr>
                <w:rFonts w:hint="eastAsia" w:ascii="宋体" w:hAnsi="宋体" w:cs="宋体"/>
                <w:color w:val="000000"/>
                <w:kern w:val="0"/>
                <w:sz w:val="18"/>
                <w:szCs w:val="18"/>
                <w:lang w:bidi="ar"/>
              </w:rPr>
              <w:t>条</w:t>
            </w:r>
          </w:p>
        </w:tc>
        <w:tc>
          <w:tcPr>
            <w:tcW w:w="72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单平台总数</w:t>
            </w:r>
          </w:p>
        </w:tc>
        <w:tc>
          <w:tcPr>
            <w:tcW w:w="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年度</w:t>
            </w:r>
          </w:p>
        </w:tc>
        <w:tc>
          <w:tcPr>
            <w:tcW w:w="1126"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实际发布数量/</w:t>
            </w:r>
            <w:r>
              <w:rPr>
                <w:rFonts w:hint="eastAsia" w:ascii="宋体" w:hAnsi="宋体" w:cs="宋体"/>
                <w:color w:val="000000"/>
                <w:kern w:val="0"/>
                <w:sz w:val="18"/>
                <w:szCs w:val="18"/>
                <w:lang w:val="en-US" w:eastAsia="zh-CN" w:bidi="ar"/>
              </w:rPr>
              <w:t>72</w:t>
            </w:r>
            <w:r>
              <w:rPr>
                <w:rFonts w:hint="eastAsia" w:ascii="宋体" w:hAnsi="宋体" w:cs="宋体"/>
                <w:color w:val="000000"/>
                <w:kern w:val="0"/>
                <w:sz w:val="18"/>
                <w:szCs w:val="18"/>
                <w:lang w:bidi="ar"/>
              </w:rPr>
              <w:t>条×5分</w:t>
            </w:r>
          </w:p>
        </w:tc>
        <w:tc>
          <w:tcPr>
            <w:tcW w:w="418"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0"/>
              </w:rPr>
            </w:pPr>
          </w:p>
        </w:tc>
      </w:tr>
      <w:tr>
        <w:tblPrEx>
          <w:tblCellMar>
            <w:top w:w="0" w:type="dxa"/>
            <w:left w:w="108" w:type="dxa"/>
            <w:bottom w:w="0" w:type="dxa"/>
            <w:right w:w="108" w:type="dxa"/>
          </w:tblCellMar>
        </w:tblPrEx>
        <w:trPr>
          <w:trHeight w:val="616" w:hRule="atLeast"/>
          <w:jc w:val="center"/>
        </w:trPr>
        <w:tc>
          <w:tcPr>
            <w:tcW w:w="352" w:type="pct"/>
            <w:vMerge w:val="continue"/>
            <w:tcBorders>
              <w:left w:val="single" w:color="000000" w:sz="4" w:space="0"/>
              <w:right w:val="single" w:color="000000" w:sz="4" w:space="0"/>
            </w:tcBorders>
            <w:vAlign w:val="center"/>
          </w:tcPr>
          <w:p>
            <w:pPr>
              <w:jc w:val="center"/>
              <w:rPr>
                <w:rFonts w:hint="eastAsia" w:ascii="宋体" w:hAnsi="宋体" w:cs="宋体"/>
                <w:color w:val="000000"/>
                <w:sz w:val="20"/>
              </w:rPr>
            </w:pPr>
          </w:p>
        </w:tc>
        <w:tc>
          <w:tcPr>
            <w:tcW w:w="474" w:type="pct"/>
            <w:vMerge w:val="continue"/>
            <w:tcBorders>
              <w:left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12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独立短视频总传播量（8分）</w:t>
            </w:r>
          </w:p>
        </w:tc>
        <w:tc>
          <w:tcPr>
            <w:tcW w:w="39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r>
              <w:rPr>
                <w:rFonts w:hint="eastAsia" w:ascii="宋体" w:hAnsi="宋体" w:cs="宋体"/>
                <w:color w:val="000000"/>
                <w:kern w:val="0"/>
                <w:sz w:val="18"/>
                <w:szCs w:val="18"/>
                <w:lang w:val="en-US" w:eastAsia="zh-CN" w:bidi="ar"/>
              </w:rPr>
              <w:t>1392</w:t>
            </w:r>
            <w:r>
              <w:rPr>
                <w:rFonts w:hint="eastAsia" w:ascii="宋体" w:hAnsi="宋体" w:cs="宋体"/>
                <w:color w:val="000000"/>
                <w:kern w:val="0"/>
                <w:sz w:val="18"/>
                <w:szCs w:val="18"/>
                <w:lang w:bidi="ar"/>
              </w:rPr>
              <w:t>万</w:t>
            </w:r>
          </w:p>
        </w:tc>
        <w:tc>
          <w:tcPr>
            <w:tcW w:w="72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抖音、快手、视频号之和</w:t>
            </w:r>
          </w:p>
        </w:tc>
        <w:tc>
          <w:tcPr>
            <w:tcW w:w="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w:t>
            </w:r>
          </w:p>
        </w:tc>
        <w:tc>
          <w:tcPr>
            <w:tcW w:w="1126"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独立短视频实际传播量/</w:t>
            </w:r>
            <w:r>
              <w:rPr>
                <w:rFonts w:hint="eastAsia" w:ascii="宋体" w:hAnsi="宋体" w:cs="宋体"/>
                <w:color w:val="000000"/>
                <w:kern w:val="0"/>
                <w:sz w:val="18"/>
                <w:szCs w:val="18"/>
                <w:lang w:val="en-US" w:eastAsia="zh-CN" w:bidi="ar"/>
              </w:rPr>
              <w:t>1392</w:t>
            </w:r>
            <w:r>
              <w:rPr>
                <w:rFonts w:hint="eastAsia" w:ascii="宋体" w:hAnsi="宋体" w:cs="宋体"/>
                <w:color w:val="000000"/>
                <w:kern w:val="0"/>
                <w:sz w:val="18"/>
                <w:szCs w:val="18"/>
                <w:lang w:bidi="ar"/>
              </w:rPr>
              <w:t>万×8分</w:t>
            </w:r>
          </w:p>
        </w:tc>
        <w:tc>
          <w:tcPr>
            <w:tcW w:w="418"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0"/>
              </w:rPr>
            </w:pPr>
          </w:p>
        </w:tc>
      </w:tr>
      <w:tr>
        <w:tblPrEx>
          <w:tblCellMar>
            <w:top w:w="0" w:type="dxa"/>
            <w:left w:w="108" w:type="dxa"/>
            <w:bottom w:w="0" w:type="dxa"/>
            <w:right w:w="108" w:type="dxa"/>
          </w:tblCellMar>
        </w:tblPrEx>
        <w:trPr>
          <w:trHeight w:val="616" w:hRule="atLeast"/>
          <w:jc w:val="center"/>
        </w:trPr>
        <w:tc>
          <w:tcPr>
            <w:tcW w:w="352" w:type="pct"/>
            <w:vMerge w:val="continue"/>
            <w:tcBorders>
              <w:left w:val="single" w:color="000000" w:sz="4" w:space="0"/>
              <w:right w:val="single" w:color="000000" w:sz="4" w:space="0"/>
            </w:tcBorders>
            <w:vAlign w:val="center"/>
          </w:tcPr>
          <w:p>
            <w:pPr>
              <w:jc w:val="center"/>
              <w:rPr>
                <w:rFonts w:hint="eastAsia" w:ascii="宋体" w:hAnsi="宋体" w:cs="宋体"/>
                <w:color w:val="000000"/>
                <w:sz w:val="20"/>
              </w:rPr>
            </w:pPr>
          </w:p>
        </w:tc>
        <w:tc>
          <w:tcPr>
            <w:tcW w:w="474" w:type="pct"/>
            <w:vMerge w:val="continue"/>
            <w:tcBorders>
              <w:left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12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themeColor="text1"/>
                <w:kern w:val="0"/>
                <w:sz w:val="18"/>
                <w:szCs w:val="18"/>
                <w:lang w:bidi="ar"/>
                <w14:textFill>
                  <w14:solidFill>
                    <w14:schemeClr w14:val="tx1"/>
                  </w14:solidFill>
                </w14:textFill>
              </w:rPr>
              <w:t>独立视频号总喜欢量和总转发量（6分）</w:t>
            </w:r>
          </w:p>
        </w:tc>
        <w:tc>
          <w:tcPr>
            <w:tcW w:w="39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≥1200个</w:t>
            </w:r>
          </w:p>
        </w:tc>
        <w:tc>
          <w:tcPr>
            <w:tcW w:w="72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视频号平台</w:t>
            </w:r>
          </w:p>
        </w:tc>
        <w:tc>
          <w:tcPr>
            <w:tcW w:w="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年度</w:t>
            </w:r>
          </w:p>
        </w:tc>
        <w:tc>
          <w:tcPr>
            <w:tcW w:w="1126"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独立短视频实际喜欢及转发数量/1200个×6分</w:t>
            </w:r>
          </w:p>
        </w:tc>
        <w:tc>
          <w:tcPr>
            <w:tcW w:w="418"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0"/>
              </w:rPr>
            </w:pPr>
          </w:p>
        </w:tc>
      </w:tr>
      <w:tr>
        <w:tblPrEx>
          <w:tblCellMar>
            <w:top w:w="0" w:type="dxa"/>
            <w:left w:w="108" w:type="dxa"/>
            <w:bottom w:w="0" w:type="dxa"/>
            <w:right w:w="108" w:type="dxa"/>
          </w:tblCellMar>
        </w:tblPrEx>
        <w:trPr>
          <w:trHeight w:val="616" w:hRule="atLeast"/>
          <w:jc w:val="center"/>
        </w:trPr>
        <w:tc>
          <w:tcPr>
            <w:tcW w:w="352" w:type="pct"/>
            <w:vMerge w:val="continue"/>
            <w:tcBorders>
              <w:left w:val="single" w:color="000000" w:sz="4" w:space="0"/>
              <w:right w:val="single" w:color="000000" w:sz="4" w:space="0"/>
            </w:tcBorders>
            <w:vAlign w:val="center"/>
          </w:tcPr>
          <w:p>
            <w:pPr>
              <w:jc w:val="center"/>
              <w:rPr>
                <w:rFonts w:hint="eastAsia" w:ascii="宋体" w:hAnsi="宋体" w:cs="宋体"/>
                <w:color w:val="000000"/>
                <w:sz w:val="20"/>
              </w:rPr>
            </w:pPr>
          </w:p>
        </w:tc>
        <w:tc>
          <w:tcPr>
            <w:tcW w:w="474" w:type="pct"/>
            <w:vMerge w:val="continue"/>
            <w:tcBorders>
              <w:left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12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独立短视频总点赞量（</w:t>
            </w:r>
            <w:r>
              <w:rPr>
                <w:rFonts w:hint="eastAsia" w:ascii="宋体" w:hAnsi="宋体" w:cs="宋体"/>
                <w:color w:val="000000"/>
                <w:kern w:val="0"/>
                <w:sz w:val="18"/>
                <w:szCs w:val="18"/>
                <w:lang w:val="en-US" w:eastAsia="zh-CN" w:bidi="ar"/>
              </w:rPr>
              <w:t>6</w:t>
            </w:r>
            <w:r>
              <w:rPr>
                <w:rFonts w:hint="eastAsia" w:ascii="宋体" w:hAnsi="宋体" w:cs="宋体"/>
                <w:color w:val="000000"/>
                <w:kern w:val="0"/>
                <w:sz w:val="18"/>
                <w:szCs w:val="18"/>
                <w:lang w:bidi="ar"/>
              </w:rPr>
              <w:t>分）</w:t>
            </w:r>
          </w:p>
        </w:tc>
        <w:tc>
          <w:tcPr>
            <w:tcW w:w="39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≥15000个</w:t>
            </w:r>
          </w:p>
        </w:tc>
        <w:tc>
          <w:tcPr>
            <w:tcW w:w="72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抖音平台、快手、视频号平台之和</w:t>
            </w:r>
          </w:p>
        </w:tc>
        <w:tc>
          <w:tcPr>
            <w:tcW w:w="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w:t>
            </w:r>
          </w:p>
        </w:tc>
        <w:tc>
          <w:tcPr>
            <w:tcW w:w="1126"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独立短视频实际点赞数量/15000个×</w:t>
            </w:r>
            <w:r>
              <w:rPr>
                <w:rFonts w:hint="eastAsia" w:ascii="宋体" w:hAnsi="宋体" w:cs="宋体"/>
                <w:color w:val="000000"/>
                <w:kern w:val="0"/>
                <w:sz w:val="18"/>
                <w:szCs w:val="18"/>
                <w:lang w:val="en-US" w:eastAsia="zh-CN" w:bidi="ar"/>
              </w:rPr>
              <w:t>6</w:t>
            </w:r>
            <w:r>
              <w:rPr>
                <w:rFonts w:hint="eastAsia" w:ascii="宋体" w:hAnsi="宋体" w:cs="宋体"/>
                <w:color w:val="000000"/>
                <w:kern w:val="0"/>
                <w:sz w:val="18"/>
                <w:szCs w:val="18"/>
                <w:lang w:bidi="ar"/>
              </w:rPr>
              <w:t>分</w:t>
            </w:r>
          </w:p>
        </w:tc>
        <w:tc>
          <w:tcPr>
            <w:tcW w:w="418"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0"/>
              </w:rPr>
            </w:pPr>
          </w:p>
        </w:tc>
      </w:tr>
      <w:tr>
        <w:tblPrEx>
          <w:tblCellMar>
            <w:top w:w="0" w:type="dxa"/>
            <w:left w:w="108" w:type="dxa"/>
            <w:bottom w:w="0" w:type="dxa"/>
            <w:right w:w="108" w:type="dxa"/>
          </w:tblCellMar>
        </w:tblPrEx>
        <w:trPr>
          <w:trHeight w:val="616" w:hRule="atLeast"/>
          <w:jc w:val="center"/>
        </w:trPr>
        <w:tc>
          <w:tcPr>
            <w:tcW w:w="352" w:type="pct"/>
            <w:vMerge w:val="continue"/>
            <w:tcBorders>
              <w:left w:val="single" w:color="000000" w:sz="4" w:space="0"/>
              <w:right w:val="single" w:color="000000" w:sz="4" w:space="0"/>
            </w:tcBorders>
            <w:vAlign w:val="center"/>
          </w:tcPr>
          <w:p>
            <w:pPr>
              <w:jc w:val="center"/>
              <w:rPr>
                <w:rFonts w:hint="eastAsia" w:ascii="宋体" w:hAnsi="宋体" w:cs="宋体"/>
                <w:color w:val="000000"/>
                <w:sz w:val="20"/>
              </w:rPr>
            </w:pPr>
          </w:p>
        </w:tc>
        <w:tc>
          <w:tcPr>
            <w:tcW w:w="474" w:type="pct"/>
            <w:vMerge w:val="continue"/>
            <w:tcBorders>
              <w:left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12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所有短视频投流总金额（</w:t>
            </w:r>
            <w:r>
              <w:rPr>
                <w:rFonts w:hint="eastAsia" w:ascii="宋体" w:hAnsi="宋体" w:cs="宋体"/>
                <w:color w:val="000000"/>
                <w:kern w:val="0"/>
                <w:sz w:val="18"/>
                <w:szCs w:val="18"/>
                <w:lang w:val="en-US" w:eastAsia="zh-CN" w:bidi="ar"/>
              </w:rPr>
              <w:t>6</w:t>
            </w:r>
            <w:r>
              <w:rPr>
                <w:rFonts w:hint="eastAsia" w:ascii="宋体" w:hAnsi="宋体" w:cs="宋体"/>
                <w:color w:val="000000"/>
                <w:kern w:val="0"/>
                <w:sz w:val="18"/>
                <w:szCs w:val="18"/>
                <w:lang w:bidi="ar"/>
              </w:rPr>
              <w:t>分）</w:t>
            </w:r>
          </w:p>
        </w:tc>
        <w:tc>
          <w:tcPr>
            <w:tcW w:w="39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t>
            </w:r>
            <w:r>
              <w:rPr>
                <w:rFonts w:hint="eastAsia" w:ascii="宋体" w:hAnsi="宋体" w:cs="宋体"/>
                <w:color w:val="000000"/>
                <w:kern w:val="0"/>
                <w:sz w:val="18"/>
                <w:szCs w:val="18"/>
                <w:lang w:val="en-US" w:eastAsia="zh-CN" w:bidi="ar"/>
              </w:rPr>
              <w:t>2.88</w:t>
            </w:r>
            <w:r>
              <w:rPr>
                <w:rFonts w:hint="eastAsia" w:ascii="宋体" w:hAnsi="宋体" w:cs="宋体"/>
                <w:color w:val="000000"/>
                <w:kern w:val="0"/>
                <w:sz w:val="18"/>
                <w:szCs w:val="18"/>
                <w:lang w:bidi="ar"/>
              </w:rPr>
              <w:t>万元</w:t>
            </w:r>
          </w:p>
        </w:tc>
        <w:tc>
          <w:tcPr>
            <w:tcW w:w="72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抖音平台、快手平台及视频号平台之和</w:t>
            </w:r>
          </w:p>
        </w:tc>
        <w:tc>
          <w:tcPr>
            <w:tcW w:w="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年度</w:t>
            </w:r>
          </w:p>
        </w:tc>
        <w:tc>
          <w:tcPr>
            <w:tcW w:w="1126"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themeColor="text1"/>
                <w:kern w:val="0"/>
                <w:sz w:val="18"/>
                <w:szCs w:val="18"/>
                <w:lang w:bidi="ar"/>
                <w14:textFill>
                  <w14:solidFill>
                    <w14:schemeClr w14:val="tx1"/>
                  </w14:solidFill>
                </w14:textFill>
              </w:rPr>
              <w:t>实际投流视频金额/</w:t>
            </w:r>
            <w:r>
              <w:rPr>
                <w:rFonts w:hint="eastAsia" w:ascii="宋体" w:hAnsi="宋体" w:cs="宋体"/>
                <w:color w:val="000000" w:themeColor="text1"/>
                <w:kern w:val="0"/>
                <w:sz w:val="18"/>
                <w:szCs w:val="18"/>
                <w:lang w:val="en-US" w:eastAsia="zh-CN" w:bidi="ar"/>
                <w14:textFill>
                  <w14:solidFill>
                    <w14:schemeClr w14:val="tx1"/>
                  </w14:solidFill>
                </w14:textFill>
              </w:rPr>
              <w:t>2.88</w:t>
            </w:r>
            <w:r>
              <w:rPr>
                <w:rFonts w:hint="eastAsia" w:ascii="宋体" w:hAnsi="宋体" w:cs="宋体"/>
                <w:color w:val="000000" w:themeColor="text1"/>
                <w:kern w:val="0"/>
                <w:sz w:val="18"/>
                <w:szCs w:val="18"/>
                <w:lang w:bidi="ar"/>
                <w14:textFill>
                  <w14:solidFill>
                    <w14:schemeClr w14:val="tx1"/>
                  </w14:solidFill>
                </w14:textFill>
              </w:rPr>
              <w:t>万元×</w:t>
            </w:r>
            <w:r>
              <w:rPr>
                <w:rFonts w:hint="eastAsia" w:ascii="宋体" w:hAnsi="宋体" w:cs="宋体"/>
                <w:color w:val="000000" w:themeColor="text1"/>
                <w:kern w:val="0"/>
                <w:sz w:val="18"/>
                <w:szCs w:val="18"/>
                <w:lang w:val="en-US" w:eastAsia="zh-CN" w:bidi="ar"/>
                <w14:textFill>
                  <w14:solidFill>
                    <w14:schemeClr w14:val="tx1"/>
                  </w14:solidFill>
                </w14:textFill>
              </w:rPr>
              <w:t>6</w:t>
            </w:r>
            <w:r>
              <w:rPr>
                <w:rFonts w:hint="eastAsia" w:ascii="宋体" w:hAnsi="宋体" w:cs="宋体"/>
                <w:color w:val="000000" w:themeColor="text1"/>
                <w:kern w:val="0"/>
                <w:sz w:val="18"/>
                <w:szCs w:val="18"/>
                <w:lang w:bidi="ar"/>
                <w14:textFill>
                  <w14:solidFill>
                    <w14:schemeClr w14:val="tx1"/>
                  </w14:solidFill>
                </w14:textFill>
              </w:rPr>
              <w:t>分</w:t>
            </w:r>
          </w:p>
        </w:tc>
        <w:tc>
          <w:tcPr>
            <w:tcW w:w="418"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0"/>
              </w:rPr>
            </w:pPr>
          </w:p>
        </w:tc>
      </w:tr>
      <w:tr>
        <w:tblPrEx>
          <w:tblCellMar>
            <w:top w:w="0" w:type="dxa"/>
            <w:left w:w="108" w:type="dxa"/>
            <w:bottom w:w="0" w:type="dxa"/>
            <w:right w:w="108" w:type="dxa"/>
          </w:tblCellMar>
        </w:tblPrEx>
        <w:trPr>
          <w:trHeight w:val="616" w:hRule="atLeast"/>
          <w:jc w:val="center"/>
        </w:trPr>
        <w:tc>
          <w:tcPr>
            <w:tcW w:w="352" w:type="pct"/>
            <w:vMerge w:val="continue"/>
            <w:tcBorders>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rPr>
            </w:pPr>
          </w:p>
        </w:tc>
        <w:tc>
          <w:tcPr>
            <w:tcW w:w="474" w:type="pct"/>
            <w:vMerge w:val="continue"/>
            <w:tcBorders>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12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策划短视频宣传主题活动（4分）</w:t>
            </w:r>
          </w:p>
        </w:tc>
        <w:tc>
          <w:tcPr>
            <w:tcW w:w="39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≥4次</w:t>
            </w:r>
          </w:p>
        </w:tc>
        <w:tc>
          <w:tcPr>
            <w:tcW w:w="72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抖音平台、快手平台及视频号平台之和</w:t>
            </w:r>
          </w:p>
        </w:tc>
        <w:tc>
          <w:tcPr>
            <w:tcW w:w="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年度</w:t>
            </w:r>
          </w:p>
        </w:tc>
        <w:tc>
          <w:tcPr>
            <w:tcW w:w="1126"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实际策划活动次数/4次×4分</w:t>
            </w:r>
          </w:p>
        </w:tc>
        <w:tc>
          <w:tcPr>
            <w:tcW w:w="418"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0"/>
              </w:rPr>
            </w:pPr>
          </w:p>
        </w:tc>
      </w:tr>
      <w:tr>
        <w:tblPrEx>
          <w:tblCellMar>
            <w:top w:w="0" w:type="dxa"/>
            <w:left w:w="108" w:type="dxa"/>
            <w:bottom w:w="0" w:type="dxa"/>
            <w:right w:w="108" w:type="dxa"/>
          </w:tblCellMar>
        </w:tblPrEx>
        <w:trPr>
          <w:trHeight w:val="616" w:hRule="atLeast"/>
          <w:jc w:val="center"/>
        </w:trPr>
        <w:tc>
          <w:tcPr>
            <w:tcW w:w="352"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w:t>
            </w:r>
          </w:p>
        </w:tc>
        <w:tc>
          <w:tcPr>
            <w:tcW w:w="474"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直播（25分）</w:t>
            </w:r>
          </w:p>
        </w:tc>
        <w:tc>
          <w:tcPr>
            <w:tcW w:w="112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直播场次（8分）</w:t>
            </w:r>
          </w:p>
        </w:tc>
        <w:tc>
          <w:tcPr>
            <w:tcW w:w="39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≥24场</w:t>
            </w:r>
          </w:p>
        </w:tc>
        <w:tc>
          <w:tcPr>
            <w:tcW w:w="72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抖音平台</w:t>
            </w:r>
          </w:p>
        </w:tc>
        <w:tc>
          <w:tcPr>
            <w:tcW w:w="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w:t>
            </w:r>
          </w:p>
        </w:tc>
        <w:tc>
          <w:tcPr>
            <w:tcW w:w="1126"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实际直播场次/24场×8分</w:t>
            </w:r>
          </w:p>
        </w:tc>
        <w:tc>
          <w:tcPr>
            <w:tcW w:w="418"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0"/>
              </w:rPr>
            </w:pPr>
          </w:p>
        </w:tc>
      </w:tr>
      <w:tr>
        <w:tblPrEx>
          <w:tblCellMar>
            <w:top w:w="0" w:type="dxa"/>
            <w:left w:w="108" w:type="dxa"/>
            <w:bottom w:w="0" w:type="dxa"/>
            <w:right w:w="108" w:type="dxa"/>
          </w:tblCellMar>
        </w:tblPrEx>
        <w:trPr>
          <w:trHeight w:val="919" w:hRule="atLeast"/>
          <w:jc w:val="center"/>
        </w:trPr>
        <w:tc>
          <w:tcPr>
            <w:tcW w:w="352" w:type="pct"/>
            <w:vMerge w:val="continue"/>
            <w:tcBorders>
              <w:left w:val="single" w:color="000000" w:sz="4" w:space="0"/>
              <w:right w:val="single" w:color="000000" w:sz="4" w:space="0"/>
            </w:tcBorders>
            <w:vAlign w:val="center"/>
          </w:tcPr>
          <w:p>
            <w:pPr>
              <w:jc w:val="center"/>
              <w:rPr>
                <w:rFonts w:hint="eastAsia" w:ascii="宋体" w:hAnsi="宋体" w:cs="宋体"/>
                <w:color w:val="000000"/>
                <w:sz w:val="20"/>
              </w:rPr>
            </w:pPr>
          </w:p>
        </w:tc>
        <w:tc>
          <w:tcPr>
            <w:tcW w:w="474" w:type="pct"/>
            <w:vMerge w:val="continue"/>
            <w:tcBorders>
              <w:left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12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直播观看总人数（5分）</w:t>
            </w:r>
          </w:p>
        </w:tc>
        <w:tc>
          <w:tcPr>
            <w:tcW w:w="39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lang w:bidi="ar"/>
              </w:rPr>
              <w:t>≥4.8万</w:t>
            </w:r>
            <w:r>
              <w:rPr>
                <w:rFonts w:hint="eastAsia" w:ascii="宋体" w:hAnsi="宋体" w:cs="宋体"/>
                <w:color w:val="000000"/>
                <w:kern w:val="0"/>
                <w:sz w:val="18"/>
                <w:szCs w:val="18"/>
                <w:lang w:val="en-US" w:eastAsia="zh-CN" w:bidi="ar"/>
              </w:rPr>
              <w:t>人</w:t>
            </w:r>
          </w:p>
        </w:tc>
        <w:tc>
          <w:tcPr>
            <w:tcW w:w="72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抖音平台</w:t>
            </w:r>
          </w:p>
        </w:tc>
        <w:tc>
          <w:tcPr>
            <w:tcW w:w="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w:t>
            </w:r>
          </w:p>
        </w:tc>
        <w:tc>
          <w:tcPr>
            <w:tcW w:w="1126"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实际直播总人数/4.8万×5分</w:t>
            </w:r>
          </w:p>
        </w:tc>
        <w:tc>
          <w:tcPr>
            <w:tcW w:w="418"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0"/>
              </w:rPr>
            </w:pPr>
          </w:p>
        </w:tc>
      </w:tr>
      <w:tr>
        <w:tblPrEx>
          <w:tblCellMar>
            <w:top w:w="0" w:type="dxa"/>
            <w:left w:w="108" w:type="dxa"/>
            <w:bottom w:w="0" w:type="dxa"/>
            <w:right w:w="108" w:type="dxa"/>
          </w:tblCellMar>
        </w:tblPrEx>
        <w:trPr>
          <w:trHeight w:val="616" w:hRule="atLeast"/>
          <w:jc w:val="center"/>
        </w:trPr>
        <w:tc>
          <w:tcPr>
            <w:tcW w:w="352" w:type="pct"/>
            <w:vMerge w:val="continue"/>
            <w:tcBorders>
              <w:left w:val="single" w:color="000000" w:sz="4" w:space="0"/>
              <w:right w:val="single" w:color="000000" w:sz="4" w:space="0"/>
            </w:tcBorders>
            <w:vAlign w:val="center"/>
          </w:tcPr>
          <w:p>
            <w:pPr>
              <w:jc w:val="center"/>
              <w:rPr>
                <w:rFonts w:hint="eastAsia" w:ascii="宋体" w:hAnsi="宋体" w:cs="宋体"/>
                <w:color w:val="000000"/>
                <w:sz w:val="20"/>
              </w:rPr>
            </w:pPr>
          </w:p>
        </w:tc>
        <w:tc>
          <w:tcPr>
            <w:tcW w:w="474" w:type="pct"/>
            <w:vMerge w:val="continue"/>
            <w:tcBorders>
              <w:left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12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直播总点赞量（4分）</w:t>
            </w:r>
          </w:p>
        </w:tc>
        <w:tc>
          <w:tcPr>
            <w:tcW w:w="39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≥36万</w:t>
            </w:r>
          </w:p>
        </w:tc>
        <w:tc>
          <w:tcPr>
            <w:tcW w:w="72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抖音平台</w:t>
            </w:r>
          </w:p>
        </w:tc>
        <w:tc>
          <w:tcPr>
            <w:tcW w:w="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w:t>
            </w:r>
          </w:p>
        </w:tc>
        <w:tc>
          <w:tcPr>
            <w:tcW w:w="1126"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实际直播总点赞量/36万×4分</w:t>
            </w:r>
          </w:p>
        </w:tc>
        <w:tc>
          <w:tcPr>
            <w:tcW w:w="418"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0"/>
              </w:rPr>
            </w:pPr>
          </w:p>
        </w:tc>
      </w:tr>
      <w:tr>
        <w:tblPrEx>
          <w:tblCellMar>
            <w:top w:w="0" w:type="dxa"/>
            <w:left w:w="108" w:type="dxa"/>
            <w:bottom w:w="0" w:type="dxa"/>
            <w:right w:w="108" w:type="dxa"/>
          </w:tblCellMar>
        </w:tblPrEx>
        <w:trPr>
          <w:trHeight w:val="616" w:hRule="atLeast"/>
          <w:jc w:val="center"/>
        </w:trPr>
        <w:tc>
          <w:tcPr>
            <w:tcW w:w="352" w:type="pct"/>
            <w:vMerge w:val="continue"/>
            <w:tcBorders>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rPr>
            </w:pPr>
          </w:p>
        </w:tc>
        <w:tc>
          <w:tcPr>
            <w:tcW w:w="474" w:type="pct"/>
            <w:vMerge w:val="continue"/>
            <w:tcBorders>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12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直播总投入金额（包含投流、红包、礼物）（8分）</w:t>
            </w:r>
          </w:p>
        </w:tc>
        <w:tc>
          <w:tcPr>
            <w:tcW w:w="39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themeColor="text1"/>
                <w:kern w:val="0"/>
                <w:sz w:val="18"/>
                <w:szCs w:val="18"/>
                <w:lang w:bidi="ar"/>
                <w14:textFill>
                  <w14:solidFill>
                    <w14:schemeClr w14:val="tx1"/>
                  </w14:solidFill>
                </w14:textFill>
              </w:rPr>
              <w:t>≥7200元</w:t>
            </w:r>
          </w:p>
        </w:tc>
        <w:tc>
          <w:tcPr>
            <w:tcW w:w="72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抖音平台</w:t>
            </w:r>
          </w:p>
        </w:tc>
        <w:tc>
          <w:tcPr>
            <w:tcW w:w="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年度</w:t>
            </w:r>
          </w:p>
        </w:tc>
        <w:tc>
          <w:tcPr>
            <w:tcW w:w="1126"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themeColor="text1"/>
                <w:kern w:val="0"/>
                <w:sz w:val="18"/>
                <w:szCs w:val="18"/>
                <w:lang w:bidi="ar"/>
                <w14:textFill>
                  <w14:solidFill>
                    <w14:schemeClr w14:val="tx1"/>
                  </w14:solidFill>
                </w14:textFill>
              </w:rPr>
              <w:t>实际投入视频金额/7200元×8分</w:t>
            </w:r>
          </w:p>
        </w:tc>
        <w:tc>
          <w:tcPr>
            <w:tcW w:w="418"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0"/>
              </w:rPr>
            </w:pPr>
          </w:p>
        </w:tc>
      </w:tr>
      <w:tr>
        <w:tblPrEx>
          <w:tblCellMar>
            <w:top w:w="0" w:type="dxa"/>
            <w:left w:w="108" w:type="dxa"/>
            <w:bottom w:w="0" w:type="dxa"/>
            <w:right w:w="108" w:type="dxa"/>
          </w:tblCellMar>
        </w:tblPrEx>
        <w:trPr>
          <w:trHeight w:val="616" w:hRule="atLeast"/>
          <w:jc w:val="center"/>
        </w:trPr>
        <w:tc>
          <w:tcPr>
            <w:tcW w:w="352"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w:t>
            </w:r>
          </w:p>
        </w:tc>
        <w:tc>
          <w:tcPr>
            <w:tcW w:w="474"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themeColor="text1"/>
                <w:kern w:val="0"/>
                <w:sz w:val="18"/>
                <w:szCs w:val="18"/>
                <w:lang w:bidi="ar"/>
                <w14:textFill>
                  <w14:solidFill>
                    <w14:schemeClr w14:val="tx1"/>
                  </w14:solidFill>
                </w14:textFill>
              </w:rPr>
              <w:t>账户运营（20分）</w:t>
            </w:r>
          </w:p>
        </w:tc>
        <w:tc>
          <w:tcPr>
            <w:tcW w:w="112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购车线索收集（7分）</w:t>
            </w:r>
          </w:p>
        </w:tc>
        <w:tc>
          <w:tcPr>
            <w:tcW w:w="39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≥360条</w:t>
            </w:r>
          </w:p>
        </w:tc>
        <w:tc>
          <w:tcPr>
            <w:tcW w:w="72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抖音平台、快手平台及视频号平台之和</w:t>
            </w:r>
          </w:p>
        </w:tc>
        <w:tc>
          <w:tcPr>
            <w:tcW w:w="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w:t>
            </w:r>
          </w:p>
        </w:tc>
        <w:tc>
          <w:tcPr>
            <w:tcW w:w="1126"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实际购车线索/360条×7分</w:t>
            </w:r>
          </w:p>
        </w:tc>
        <w:tc>
          <w:tcPr>
            <w:tcW w:w="418"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0"/>
              </w:rPr>
            </w:pPr>
          </w:p>
        </w:tc>
      </w:tr>
      <w:tr>
        <w:tblPrEx>
          <w:tblCellMar>
            <w:top w:w="0" w:type="dxa"/>
            <w:left w:w="108" w:type="dxa"/>
            <w:bottom w:w="0" w:type="dxa"/>
            <w:right w:w="108" w:type="dxa"/>
          </w:tblCellMar>
        </w:tblPrEx>
        <w:trPr>
          <w:trHeight w:val="616" w:hRule="atLeast"/>
          <w:jc w:val="center"/>
        </w:trPr>
        <w:tc>
          <w:tcPr>
            <w:tcW w:w="352" w:type="pct"/>
            <w:vMerge w:val="continue"/>
            <w:tcBorders>
              <w:left w:val="single" w:color="000000" w:sz="4" w:space="0"/>
              <w:right w:val="single" w:color="000000" w:sz="4" w:space="0"/>
            </w:tcBorders>
            <w:vAlign w:val="center"/>
          </w:tcPr>
          <w:p>
            <w:pPr>
              <w:jc w:val="center"/>
              <w:rPr>
                <w:rFonts w:hint="eastAsia" w:ascii="宋体" w:hAnsi="宋体" w:cs="宋体"/>
                <w:color w:val="000000"/>
                <w:sz w:val="20"/>
              </w:rPr>
            </w:pPr>
          </w:p>
        </w:tc>
        <w:tc>
          <w:tcPr>
            <w:tcW w:w="474" w:type="pct"/>
            <w:vMerge w:val="continue"/>
            <w:tcBorders>
              <w:left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12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粉丝增长量（5分）</w:t>
            </w:r>
          </w:p>
        </w:tc>
        <w:tc>
          <w:tcPr>
            <w:tcW w:w="39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lang w:bidi="ar"/>
              </w:rPr>
              <w:t>≥</w:t>
            </w:r>
            <w:r>
              <w:rPr>
                <w:rFonts w:hint="eastAsia" w:ascii="宋体" w:hAnsi="宋体" w:cs="宋体"/>
                <w:color w:val="000000"/>
                <w:kern w:val="0"/>
                <w:sz w:val="18"/>
                <w:szCs w:val="18"/>
                <w:lang w:val="en-US" w:eastAsia="zh-CN" w:bidi="ar"/>
              </w:rPr>
              <w:t>2.88</w:t>
            </w:r>
            <w:r>
              <w:rPr>
                <w:rFonts w:hint="eastAsia" w:ascii="宋体" w:hAnsi="宋体" w:cs="宋体"/>
                <w:color w:val="000000"/>
                <w:kern w:val="0"/>
                <w:sz w:val="18"/>
                <w:szCs w:val="18"/>
                <w:lang w:bidi="ar"/>
              </w:rPr>
              <w:t>万</w:t>
            </w:r>
            <w:r>
              <w:rPr>
                <w:rFonts w:hint="eastAsia" w:ascii="宋体" w:hAnsi="宋体" w:cs="宋体"/>
                <w:color w:val="000000"/>
                <w:kern w:val="0"/>
                <w:sz w:val="18"/>
                <w:szCs w:val="18"/>
                <w:lang w:val="en-US" w:eastAsia="zh-CN" w:bidi="ar"/>
              </w:rPr>
              <w:t>个</w:t>
            </w:r>
          </w:p>
        </w:tc>
        <w:tc>
          <w:tcPr>
            <w:tcW w:w="72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抖音平台、快手平台及视频号平台之和</w:t>
            </w:r>
          </w:p>
        </w:tc>
        <w:tc>
          <w:tcPr>
            <w:tcW w:w="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w:t>
            </w:r>
          </w:p>
        </w:tc>
        <w:tc>
          <w:tcPr>
            <w:tcW w:w="1126"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实际粉丝增长量/3.12万×5分</w:t>
            </w:r>
          </w:p>
        </w:tc>
        <w:tc>
          <w:tcPr>
            <w:tcW w:w="418"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0"/>
              </w:rPr>
            </w:pPr>
          </w:p>
        </w:tc>
      </w:tr>
      <w:tr>
        <w:tblPrEx>
          <w:tblCellMar>
            <w:top w:w="0" w:type="dxa"/>
            <w:left w:w="108" w:type="dxa"/>
            <w:bottom w:w="0" w:type="dxa"/>
            <w:right w:w="108" w:type="dxa"/>
          </w:tblCellMar>
        </w:tblPrEx>
        <w:trPr>
          <w:trHeight w:val="489" w:hRule="atLeast"/>
          <w:jc w:val="center"/>
        </w:trPr>
        <w:tc>
          <w:tcPr>
            <w:tcW w:w="352" w:type="pct"/>
            <w:vMerge w:val="continue"/>
            <w:tcBorders>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rPr>
            </w:pPr>
          </w:p>
        </w:tc>
        <w:tc>
          <w:tcPr>
            <w:tcW w:w="474" w:type="pct"/>
            <w:vMerge w:val="continue"/>
            <w:tcBorders>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12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提供培训（8分）</w:t>
            </w:r>
          </w:p>
        </w:tc>
        <w:tc>
          <w:tcPr>
            <w:tcW w:w="39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≥24次</w:t>
            </w:r>
          </w:p>
        </w:tc>
        <w:tc>
          <w:tcPr>
            <w:tcW w:w="72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lang w:bidi="ar"/>
              </w:rPr>
            </w:pPr>
          </w:p>
        </w:tc>
        <w:tc>
          <w:tcPr>
            <w:tcW w:w="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年度</w:t>
            </w:r>
          </w:p>
        </w:tc>
        <w:tc>
          <w:tcPr>
            <w:tcW w:w="1126"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实际培训次数/24×8分</w:t>
            </w:r>
          </w:p>
        </w:tc>
        <w:tc>
          <w:tcPr>
            <w:tcW w:w="418"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0"/>
              </w:rPr>
            </w:pPr>
          </w:p>
        </w:tc>
      </w:tr>
      <w:tr>
        <w:tblPrEx>
          <w:tblCellMar>
            <w:top w:w="0" w:type="dxa"/>
            <w:left w:w="108" w:type="dxa"/>
            <w:bottom w:w="0" w:type="dxa"/>
            <w:right w:w="108" w:type="dxa"/>
          </w:tblCellMar>
        </w:tblPrEx>
        <w:trPr>
          <w:trHeight w:val="3041" w:hRule="atLeast"/>
          <w:jc w:val="center"/>
        </w:trPr>
        <w:tc>
          <w:tcPr>
            <w:tcW w:w="352"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4</w:t>
            </w:r>
          </w:p>
        </w:tc>
        <w:tc>
          <w:tcPr>
            <w:tcW w:w="474" w:type="pct"/>
            <w:vMerge w:val="restart"/>
            <w:tcBorders>
              <w:top w:val="nil"/>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终端赋能（10分）</w:t>
            </w:r>
          </w:p>
        </w:tc>
        <w:tc>
          <w:tcPr>
            <w:tcW w:w="112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按时提交符合重汽济南专用车需求的经销服务网络合作伙伴月度短视频、直播及视频号指导手册（包含但不仅限于阶段性新媒体工作要求、直播和短视频执行脚本参考、优秀短视频和直播案例分析、存在问题分析、平台热门话题与规则等）（5分）</w:t>
            </w:r>
          </w:p>
        </w:tc>
        <w:tc>
          <w:tcPr>
            <w:tcW w:w="39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≥12次</w:t>
            </w:r>
          </w:p>
        </w:tc>
        <w:tc>
          <w:tcPr>
            <w:tcW w:w="723"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w:t>
            </w:r>
          </w:p>
        </w:tc>
        <w:tc>
          <w:tcPr>
            <w:tcW w:w="1126"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实际指导手册提交数/12次×5分</w:t>
            </w:r>
          </w:p>
        </w:tc>
        <w:tc>
          <w:tcPr>
            <w:tcW w:w="418"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0"/>
              </w:rPr>
            </w:pPr>
          </w:p>
        </w:tc>
      </w:tr>
      <w:tr>
        <w:tblPrEx>
          <w:tblCellMar>
            <w:top w:w="0" w:type="dxa"/>
            <w:left w:w="108" w:type="dxa"/>
            <w:bottom w:w="0" w:type="dxa"/>
            <w:right w:w="108" w:type="dxa"/>
          </w:tblCellMar>
        </w:tblPrEx>
        <w:trPr>
          <w:trHeight w:val="3041" w:hRule="atLeast"/>
          <w:jc w:val="center"/>
        </w:trPr>
        <w:tc>
          <w:tcPr>
            <w:tcW w:w="352"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0"/>
                <w:lang w:bidi="ar"/>
              </w:rPr>
            </w:pPr>
          </w:p>
        </w:tc>
        <w:tc>
          <w:tcPr>
            <w:tcW w:w="474"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p>
        </w:tc>
        <w:tc>
          <w:tcPr>
            <w:tcW w:w="112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短视频外出拍摄次数（5分）</w:t>
            </w:r>
          </w:p>
        </w:tc>
        <w:tc>
          <w:tcPr>
            <w:tcW w:w="39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≥6次</w:t>
            </w:r>
          </w:p>
        </w:tc>
        <w:tc>
          <w:tcPr>
            <w:tcW w:w="723"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年度</w:t>
            </w:r>
          </w:p>
        </w:tc>
        <w:tc>
          <w:tcPr>
            <w:tcW w:w="1126"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少一次扣除2分，外出费用包含在项目合同中，不单独报销。</w:t>
            </w:r>
          </w:p>
        </w:tc>
        <w:tc>
          <w:tcPr>
            <w:tcW w:w="418"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0"/>
              </w:rPr>
            </w:pPr>
          </w:p>
        </w:tc>
      </w:tr>
      <w:tr>
        <w:tblPrEx>
          <w:tblCellMar>
            <w:top w:w="0" w:type="dxa"/>
            <w:left w:w="108" w:type="dxa"/>
            <w:bottom w:w="0" w:type="dxa"/>
            <w:right w:w="108" w:type="dxa"/>
          </w:tblCellMar>
        </w:tblPrEx>
        <w:trPr>
          <w:trHeight w:val="323" w:hRule="atLeast"/>
          <w:jc w:val="center"/>
        </w:trPr>
        <w:tc>
          <w:tcPr>
            <w:tcW w:w="4581" w:type="pct"/>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0"/>
              </w:rPr>
            </w:pPr>
            <w:r>
              <w:rPr>
                <w:rFonts w:hint="eastAsia" w:ascii="宋体" w:hAnsi="宋体" w:cs="宋体"/>
                <w:b/>
                <w:bCs/>
                <w:color w:val="000000"/>
                <w:kern w:val="0"/>
                <w:sz w:val="20"/>
                <w:lang w:bidi="ar"/>
              </w:rPr>
              <w:t>总得分</w:t>
            </w:r>
          </w:p>
        </w:tc>
        <w:tc>
          <w:tcPr>
            <w:tcW w:w="418"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0"/>
              </w:rPr>
            </w:pPr>
          </w:p>
        </w:tc>
      </w:tr>
    </w:tbl>
    <w:p>
      <w:r>
        <w:rPr>
          <w:rFonts w:ascii="宋体" w:hAnsi="宋体" w:cs="宋体"/>
          <w:sz w:val="20"/>
          <w:szCs w:val="21"/>
        </w:rPr>
        <w:t>该项目执行满一年后，按照合同约定对年度执行情况进行打分，满分为100分，双方确认后签字盖章。年度评价机制：实际付款金额（含税）=年度评价得分/100分*</w:t>
      </w:r>
      <w:r>
        <w:rPr>
          <w:rFonts w:hint="eastAsia" w:ascii="宋体" w:hAnsi="宋体" w:cs="宋体"/>
          <w:sz w:val="20"/>
          <w:szCs w:val="21"/>
        </w:rPr>
        <w:t>XX</w:t>
      </w:r>
      <w:r>
        <w:rPr>
          <w:rFonts w:ascii="宋体" w:hAnsi="宋体" w:cs="宋体"/>
          <w:sz w:val="20"/>
          <w:szCs w:val="21"/>
        </w:rPr>
        <w:t>元；</w:t>
      </w:r>
    </w:p>
    <w:sectPr>
      <w:headerReference r:id="rId3" w:type="default"/>
      <w:footerReference r:id="rId4" w:type="default"/>
      <w:pgSz w:w="11906" w:h="16838"/>
      <w:pgMar w:top="1701" w:right="1418" w:bottom="1134" w:left="1418" w:header="851" w:footer="992"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- 2 -</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rFonts w:ascii="楷体_GB2312" w:eastAsia="楷体_GB2312"/>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7EAE5"/>
    <w:multiLevelType w:val="singleLevel"/>
    <w:tmpl w:val="8067EAE5"/>
    <w:lvl w:ilvl="0" w:tentative="0">
      <w:start w:val="1"/>
      <w:numFmt w:val="decimal"/>
      <w:lvlText w:val="%1."/>
      <w:lvlJc w:val="left"/>
      <w:pPr>
        <w:ind w:left="425" w:hanging="425"/>
      </w:pPr>
      <w:rPr>
        <w:rFonts w:hint="default"/>
      </w:rPr>
    </w:lvl>
  </w:abstractNum>
  <w:abstractNum w:abstractNumId="1">
    <w:nsid w:val="86DC667B"/>
    <w:multiLevelType w:val="singleLevel"/>
    <w:tmpl w:val="86DC667B"/>
    <w:lvl w:ilvl="0" w:tentative="0">
      <w:start w:val="3"/>
      <w:numFmt w:val="decimal"/>
      <w:lvlText w:val="%1)"/>
      <w:lvlJc w:val="left"/>
      <w:pPr>
        <w:tabs>
          <w:tab w:val="left" w:pos="420"/>
        </w:tabs>
        <w:ind w:left="425" w:hanging="425"/>
      </w:pPr>
      <w:rPr>
        <w:rFonts w:hint="default"/>
      </w:rPr>
    </w:lvl>
  </w:abstractNum>
  <w:abstractNum w:abstractNumId="2">
    <w:nsid w:val="9277A114"/>
    <w:multiLevelType w:val="singleLevel"/>
    <w:tmpl w:val="9277A114"/>
    <w:lvl w:ilvl="0" w:tentative="0">
      <w:start w:val="1"/>
      <w:numFmt w:val="decimal"/>
      <w:lvlText w:val="%1."/>
      <w:lvlJc w:val="left"/>
      <w:pPr>
        <w:tabs>
          <w:tab w:val="left" w:pos="312"/>
        </w:tabs>
      </w:pPr>
    </w:lvl>
  </w:abstractNum>
  <w:abstractNum w:abstractNumId="3">
    <w:nsid w:val="E8726271"/>
    <w:multiLevelType w:val="singleLevel"/>
    <w:tmpl w:val="E8726271"/>
    <w:lvl w:ilvl="0" w:tentative="0">
      <w:start w:val="1"/>
      <w:numFmt w:val="decimalEnclosedCircleChinese"/>
      <w:suff w:val="nothing"/>
      <w:lvlText w:val="%1　"/>
      <w:lvlJc w:val="left"/>
      <w:pPr>
        <w:ind w:left="0" w:firstLine="400"/>
      </w:pPr>
      <w:rPr>
        <w:rFonts w:hint="eastAsia"/>
      </w:rPr>
    </w:lvl>
  </w:abstractNum>
  <w:abstractNum w:abstractNumId="4">
    <w:nsid w:val="F2BF6B68"/>
    <w:multiLevelType w:val="singleLevel"/>
    <w:tmpl w:val="F2BF6B68"/>
    <w:lvl w:ilvl="0" w:tentative="0">
      <w:start w:val="2"/>
      <w:numFmt w:val="decimal"/>
      <w:lvlText w:val="%1)"/>
      <w:lvlJc w:val="left"/>
      <w:pPr>
        <w:tabs>
          <w:tab w:val="left" w:pos="420"/>
        </w:tabs>
        <w:ind w:left="425" w:hanging="425"/>
      </w:pPr>
      <w:rPr>
        <w:rFonts w:hint="default"/>
      </w:rPr>
    </w:lvl>
  </w:abstractNum>
  <w:abstractNum w:abstractNumId="5">
    <w:nsid w:val="FCEDDC36"/>
    <w:multiLevelType w:val="singleLevel"/>
    <w:tmpl w:val="FCEDDC36"/>
    <w:lvl w:ilvl="0" w:tentative="0">
      <w:start w:val="1"/>
      <w:numFmt w:val="decimal"/>
      <w:lvlText w:val="%1."/>
      <w:lvlJc w:val="left"/>
      <w:pPr>
        <w:ind w:left="425" w:hanging="425"/>
      </w:pPr>
      <w:rPr>
        <w:rFonts w:hint="default"/>
      </w:rPr>
    </w:lvl>
  </w:abstractNum>
  <w:abstractNum w:abstractNumId="6">
    <w:nsid w:val="09E41EFB"/>
    <w:multiLevelType w:val="singleLevel"/>
    <w:tmpl w:val="09E41EFB"/>
    <w:lvl w:ilvl="0" w:tentative="0">
      <w:start w:val="1"/>
      <w:numFmt w:val="decimal"/>
      <w:lvlText w:val="%1."/>
      <w:lvlJc w:val="left"/>
      <w:pPr>
        <w:ind w:left="425" w:hanging="425"/>
      </w:pPr>
      <w:rPr>
        <w:rFonts w:hint="default"/>
      </w:rPr>
    </w:lvl>
  </w:abstractNum>
  <w:abstractNum w:abstractNumId="7">
    <w:nsid w:val="105E0A1B"/>
    <w:multiLevelType w:val="singleLevel"/>
    <w:tmpl w:val="105E0A1B"/>
    <w:lvl w:ilvl="0" w:tentative="0">
      <w:start w:val="1"/>
      <w:numFmt w:val="decimal"/>
      <w:lvlText w:val="%1."/>
      <w:lvlJc w:val="left"/>
      <w:pPr>
        <w:ind w:left="425" w:hanging="425"/>
      </w:pPr>
      <w:rPr>
        <w:rFonts w:hint="default"/>
      </w:rPr>
    </w:lvl>
  </w:abstractNum>
  <w:abstractNum w:abstractNumId="8">
    <w:nsid w:val="165C79E3"/>
    <w:multiLevelType w:val="singleLevel"/>
    <w:tmpl w:val="165C79E3"/>
    <w:lvl w:ilvl="0" w:tentative="0">
      <w:start w:val="1"/>
      <w:numFmt w:val="decimal"/>
      <w:lvlText w:val="(%1)"/>
      <w:lvlJc w:val="left"/>
      <w:pPr>
        <w:ind w:left="425" w:hanging="425"/>
      </w:pPr>
      <w:rPr>
        <w:rFonts w:hint="default"/>
      </w:rPr>
    </w:lvl>
  </w:abstractNum>
  <w:abstractNum w:abstractNumId="9">
    <w:nsid w:val="201F4971"/>
    <w:multiLevelType w:val="multilevel"/>
    <w:tmpl w:val="201F4971"/>
    <w:lvl w:ilvl="0" w:tentative="0">
      <w:start w:val="1"/>
      <w:numFmt w:val="decimal"/>
      <w:pStyle w:val="20"/>
      <w:lvlText w:val="%1）"/>
      <w:lvlJc w:val="left"/>
      <w:pPr>
        <w:ind w:left="420" w:hanging="420"/>
      </w:pPr>
      <w:rPr>
        <w:rFonts w:hint="eastAsia" w:ascii="Times New Roman" w:hAnsi="Times New Roman" w:eastAsia="宋体" w:cs="Times New Roman"/>
        <w:b w:val="0"/>
        <w:bCs/>
      </w:rPr>
    </w:lvl>
    <w:lvl w:ilvl="1" w:tentative="0">
      <w:start w:val="1"/>
      <w:numFmt w:val="decimal"/>
      <w:lvlText w:val="%2)"/>
      <w:lvlJc w:val="left"/>
      <w:pPr>
        <w:tabs>
          <w:tab w:val="left" w:pos="693"/>
        </w:tabs>
        <w:ind w:left="693" w:hanging="420"/>
      </w:pPr>
    </w:lvl>
    <w:lvl w:ilvl="2" w:tentative="0">
      <w:start w:val="1"/>
      <w:numFmt w:val="lowerRoman"/>
      <w:lvlText w:val="%3."/>
      <w:lvlJc w:val="right"/>
      <w:pPr>
        <w:ind w:left="1113" w:hanging="420"/>
      </w:pPr>
    </w:lvl>
    <w:lvl w:ilvl="3" w:tentative="0">
      <w:start w:val="1"/>
      <w:numFmt w:val="decimal"/>
      <w:lvlText w:val="%4."/>
      <w:lvlJc w:val="left"/>
      <w:pPr>
        <w:ind w:left="1533" w:hanging="420"/>
      </w:pPr>
    </w:lvl>
    <w:lvl w:ilvl="4" w:tentative="0">
      <w:start w:val="1"/>
      <w:numFmt w:val="lowerLetter"/>
      <w:lvlText w:val="%5)"/>
      <w:lvlJc w:val="left"/>
      <w:pPr>
        <w:ind w:left="1953" w:hanging="420"/>
      </w:pPr>
    </w:lvl>
    <w:lvl w:ilvl="5" w:tentative="0">
      <w:start w:val="1"/>
      <w:numFmt w:val="lowerRoman"/>
      <w:lvlText w:val="%6."/>
      <w:lvlJc w:val="right"/>
      <w:pPr>
        <w:ind w:left="2373" w:hanging="420"/>
      </w:pPr>
    </w:lvl>
    <w:lvl w:ilvl="6" w:tentative="0">
      <w:start w:val="1"/>
      <w:numFmt w:val="decimal"/>
      <w:lvlText w:val="%7."/>
      <w:lvlJc w:val="left"/>
      <w:pPr>
        <w:ind w:left="2793" w:hanging="420"/>
      </w:pPr>
    </w:lvl>
    <w:lvl w:ilvl="7" w:tentative="0">
      <w:start w:val="1"/>
      <w:numFmt w:val="lowerLetter"/>
      <w:lvlText w:val="%8)"/>
      <w:lvlJc w:val="left"/>
      <w:pPr>
        <w:ind w:left="3213" w:hanging="420"/>
      </w:pPr>
    </w:lvl>
    <w:lvl w:ilvl="8" w:tentative="0">
      <w:start w:val="1"/>
      <w:numFmt w:val="lowerRoman"/>
      <w:lvlText w:val="%9."/>
      <w:lvlJc w:val="right"/>
      <w:pPr>
        <w:ind w:left="3633" w:hanging="420"/>
      </w:pPr>
    </w:lvl>
  </w:abstractNum>
  <w:abstractNum w:abstractNumId="10">
    <w:nsid w:val="222DA98A"/>
    <w:multiLevelType w:val="singleLevel"/>
    <w:tmpl w:val="222DA98A"/>
    <w:lvl w:ilvl="0" w:tentative="0">
      <w:start w:val="1"/>
      <w:numFmt w:val="decimal"/>
      <w:lvlText w:val="%1)"/>
      <w:lvlJc w:val="left"/>
      <w:pPr>
        <w:ind w:left="425" w:hanging="425"/>
      </w:pPr>
      <w:rPr>
        <w:rFonts w:hint="default"/>
      </w:rPr>
    </w:lvl>
  </w:abstractNum>
  <w:abstractNum w:abstractNumId="11">
    <w:nsid w:val="26BBA256"/>
    <w:multiLevelType w:val="singleLevel"/>
    <w:tmpl w:val="26BBA256"/>
    <w:lvl w:ilvl="0" w:tentative="0">
      <w:start w:val="1"/>
      <w:numFmt w:val="decimal"/>
      <w:lvlText w:val="%1."/>
      <w:lvlJc w:val="left"/>
      <w:pPr>
        <w:ind w:left="425" w:hanging="425"/>
      </w:pPr>
      <w:rPr>
        <w:rFonts w:hint="default"/>
      </w:rPr>
    </w:lvl>
  </w:abstractNum>
  <w:abstractNum w:abstractNumId="12">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13">
    <w:nsid w:val="2F5711B6"/>
    <w:multiLevelType w:val="singleLevel"/>
    <w:tmpl w:val="2F5711B6"/>
    <w:lvl w:ilvl="0" w:tentative="0">
      <w:start w:val="1"/>
      <w:numFmt w:val="decimal"/>
      <w:lvlText w:val="%1."/>
      <w:lvlJc w:val="left"/>
      <w:pPr>
        <w:ind w:left="425" w:hanging="425"/>
      </w:pPr>
      <w:rPr>
        <w:rFonts w:hint="default"/>
      </w:rPr>
    </w:lvl>
  </w:abstractNum>
  <w:abstractNum w:abstractNumId="14">
    <w:nsid w:val="3295D6C8"/>
    <w:multiLevelType w:val="singleLevel"/>
    <w:tmpl w:val="3295D6C8"/>
    <w:lvl w:ilvl="0" w:tentative="0">
      <w:start w:val="3"/>
      <w:numFmt w:val="chineseCounting"/>
      <w:suff w:val="space"/>
      <w:lvlText w:val="%1、"/>
      <w:lvlJc w:val="left"/>
      <w:rPr>
        <w:rFonts w:hint="eastAsia"/>
      </w:rPr>
    </w:lvl>
  </w:abstractNum>
  <w:abstractNum w:abstractNumId="15">
    <w:nsid w:val="405248CF"/>
    <w:multiLevelType w:val="singleLevel"/>
    <w:tmpl w:val="405248CF"/>
    <w:lvl w:ilvl="0" w:tentative="0">
      <w:start w:val="1"/>
      <w:numFmt w:val="decimal"/>
      <w:lvlText w:val="(%1)"/>
      <w:lvlJc w:val="left"/>
      <w:pPr>
        <w:ind w:left="425" w:hanging="425"/>
      </w:pPr>
      <w:rPr>
        <w:rFonts w:hint="default"/>
      </w:rPr>
    </w:lvl>
  </w:abstractNum>
  <w:abstractNum w:abstractNumId="16">
    <w:nsid w:val="4CE26825"/>
    <w:multiLevelType w:val="singleLevel"/>
    <w:tmpl w:val="4CE26825"/>
    <w:lvl w:ilvl="0" w:tentative="0">
      <w:start w:val="1"/>
      <w:numFmt w:val="decimal"/>
      <w:lvlText w:val="%1."/>
      <w:lvlJc w:val="left"/>
      <w:pPr>
        <w:ind w:left="425" w:hanging="425"/>
      </w:pPr>
      <w:rPr>
        <w:rFonts w:hint="default"/>
      </w:rPr>
    </w:lvl>
  </w:abstractNum>
  <w:abstractNum w:abstractNumId="17">
    <w:nsid w:val="5835CEB9"/>
    <w:multiLevelType w:val="singleLevel"/>
    <w:tmpl w:val="5835CEB9"/>
    <w:lvl w:ilvl="0" w:tentative="0">
      <w:start w:val="1"/>
      <w:numFmt w:val="decimal"/>
      <w:lvlText w:val="%1."/>
      <w:lvlJc w:val="left"/>
      <w:pPr>
        <w:ind w:left="425" w:hanging="425"/>
      </w:pPr>
      <w:rPr>
        <w:rFonts w:hint="default"/>
      </w:rPr>
    </w:lvl>
  </w:abstractNum>
  <w:abstractNum w:abstractNumId="18">
    <w:nsid w:val="5A29D1C2"/>
    <w:multiLevelType w:val="multilevel"/>
    <w:tmpl w:val="5A29D1C2"/>
    <w:lvl w:ilvl="0" w:tentative="0">
      <w:start w:val="1"/>
      <w:numFmt w:val="decimal"/>
      <w:isLgl/>
      <w:suff w:val="space"/>
      <w:lvlText w:val="%1"/>
      <w:lvlJc w:val="left"/>
      <w:pPr>
        <w:ind w:left="0" w:firstLine="0"/>
      </w:pPr>
    </w:lvl>
    <w:lvl w:ilvl="1" w:tentative="0">
      <w:start w:val="1"/>
      <w:numFmt w:val="decimal"/>
      <w:pStyle w:val="22"/>
      <w:isLgl/>
      <w:suff w:val="space"/>
      <w:lvlText w:val="%1.%2"/>
      <w:lvlJc w:val="left"/>
      <w:pPr>
        <w:ind w:left="1134" w:firstLine="0"/>
      </w:pPr>
    </w:lvl>
    <w:lvl w:ilvl="2" w:tentative="0">
      <w:start w:val="1"/>
      <w:numFmt w:val="decimal"/>
      <w:isLgl/>
      <w:suff w:val="space"/>
      <w:lvlText w:val="%1.%2.%3"/>
      <w:lvlJc w:val="left"/>
      <w:pPr>
        <w:ind w:left="0" w:firstLine="0"/>
      </w:pPr>
    </w:lvl>
    <w:lvl w:ilvl="3" w:tentative="0">
      <w:start w:val="1"/>
      <w:numFmt w:val="decimal"/>
      <w:isLgl/>
      <w:suff w:val="space"/>
      <w:lvlText w:val="%1.%2.%3.%4"/>
      <w:lvlJc w:val="left"/>
      <w:pPr>
        <w:ind w:left="0" w:firstLine="0"/>
      </w:pPr>
    </w:lvl>
    <w:lvl w:ilvl="4" w:tentative="0">
      <w:start w:val="1"/>
      <w:numFmt w:val="decimal"/>
      <w:isLgl/>
      <w:suff w:val="space"/>
      <w:lvlText w:val="%1.%2.%3.%4.%5"/>
      <w:lvlJc w:val="left"/>
      <w:pPr>
        <w:ind w:left="0" w:firstLine="0"/>
      </w:pPr>
    </w:lvl>
    <w:lvl w:ilvl="5" w:tentative="0">
      <w:start w:val="1"/>
      <w:numFmt w:val="decimal"/>
      <w:suff w:val="space"/>
      <w:lvlText w:val="%1.%2.%3.%4.%5.%6"/>
      <w:lvlJc w:val="left"/>
      <w:pPr>
        <w:ind w:left="0" w:firstLine="0"/>
      </w:pPr>
    </w:lvl>
    <w:lvl w:ilvl="6" w:tentative="0">
      <w:start w:val="1"/>
      <w:numFmt w:val="decimal"/>
      <w:isLgl/>
      <w:suff w:val="space"/>
      <w:lvlText w:val="%1.%2.%3.%4.%5.%6.%7"/>
      <w:lvlJc w:val="left"/>
      <w:pPr>
        <w:ind w:left="0" w:firstLine="0"/>
      </w:pPr>
    </w:lvl>
    <w:lvl w:ilvl="7" w:tentative="0">
      <w:start w:val="1"/>
      <w:numFmt w:val="decimal"/>
      <w:isLgl/>
      <w:suff w:val="space"/>
      <w:lvlText w:val="图%1"/>
      <w:lvlJc w:val="center"/>
      <w:pPr>
        <w:ind w:left="0" w:firstLine="0"/>
      </w:pPr>
    </w:lvl>
    <w:lvl w:ilvl="8" w:tentative="0">
      <w:start w:val="1"/>
      <w:numFmt w:val="decimal"/>
      <w:isLgl/>
      <w:suff w:val="space"/>
      <w:lvlText w:val="表%1"/>
      <w:lvlJc w:val="center"/>
      <w:pPr>
        <w:ind w:left="0" w:firstLine="0"/>
      </w:pPr>
    </w:lvl>
  </w:abstractNum>
  <w:abstractNum w:abstractNumId="19">
    <w:nsid w:val="5EF00EEB"/>
    <w:multiLevelType w:val="singleLevel"/>
    <w:tmpl w:val="5EF00EEB"/>
    <w:lvl w:ilvl="0" w:tentative="0">
      <w:start w:val="1"/>
      <w:numFmt w:val="decimal"/>
      <w:lvlText w:val="%1."/>
      <w:lvlJc w:val="left"/>
      <w:pPr>
        <w:ind w:left="425" w:hanging="425"/>
      </w:pPr>
      <w:rPr>
        <w:rFonts w:hint="default"/>
      </w:rPr>
    </w:lvl>
  </w:abstractNum>
  <w:abstractNum w:abstractNumId="20">
    <w:nsid w:val="5FF43A7E"/>
    <w:multiLevelType w:val="singleLevel"/>
    <w:tmpl w:val="5FF43A7E"/>
    <w:lvl w:ilvl="0" w:tentative="0">
      <w:start w:val="1"/>
      <w:numFmt w:val="decimal"/>
      <w:suff w:val="nothing"/>
      <w:lvlText w:val="%1、"/>
      <w:lvlJc w:val="left"/>
    </w:lvl>
  </w:abstractNum>
  <w:abstractNum w:abstractNumId="21">
    <w:nsid w:val="61F9A69F"/>
    <w:multiLevelType w:val="singleLevel"/>
    <w:tmpl w:val="61F9A69F"/>
    <w:lvl w:ilvl="0" w:tentative="0">
      <w:start w:val="1"/>
      <w:numFmt w:val="decimal"/>
      <w:lvlText w:val="%1."/>
      <w:lvlJc w:val="left"/>
      <w:pPr>
        <w:ind w:left="425" w:hanging="425"/>
      </w:pPr>
      <w:rPr>
        <w:rFonts w:hint="default"/>
      </w:rPr>
    </w:lvl>
  </w:abstractNum>
  <w:abstractNum w:abstractNumId="22">
    <w:nsid w:val="6281D24F"/>
    <w:multiLevelType w:val="singleLevel"/>
    <w:tmpl w:val="6281D24F"/>
    <w:lvl w:ilvl="0" w:tentative="0">
      <w:start w:val="1"/>
      <w:numFmt w:val="decimal"/>
      <w:lvlText w:val="%1."/>
      <w:lvlJc w:val="left"/>
      <w:pPr>
        <w:ind w:left="425" w:hanging="425"/>
      </w:pPr>
      <w:rPr>
        <w:rFonts w:hint="default"/>
      </w:rPr>
    </w:lvl>
  </w:abstractNum>
  <w:abstractNum w:abstractNumId="23">
    <w:nsid w:val="68FE69A4"/>
    <w:multiLevelType w:val="singleLevel"/>
    <w:tmpl w:val="68FE69A4"/>
    <w:lvl w:ilvl="0" w:tentative="0">
      <w:start w:val="1"/>
      <w:numFmt w:val="decimal"/>
      <w:lvlText w:val="%1."/>
      <w:lvlJc w:val="left"/>
      <w:pPr>
        <w:ind w:left="425" w:hanging="425"/>
      </w:pPr>
      <w:rPr>
        <w:rFonts w:hint="default"/>
      </w:rPr>
    </w:lvl>
  </w:abstractNum>
  <w:abstractNum w:abstractNumId="24">
    <w:nsid w:val="7502E953"/>
    <w:multiLevelType w:val="singleLevel"/>
    <w:tmpl w:val="7502E953"/>
    <w:lvl w:ilvl="0" w:tentative="0">
      <w:start w:val="1"/>
      <w:numFmt w:val="decimal"/>
      <w:suff w:val="nothing"/>
      <w:lvlText w:val="（%1）"/>
      <w:lvlJc w:val="left"/>
    </w:lvl>
  </w:abstractNum>
  <w:abstractNum w:abstractNumId="25">
    <w:nsid w:val="766D0D39"/>
    <w:multiLevelType w:val="singleLevel"/>
    <w:tmpl w:val="766D0D39"/>
    <w:lvl w:ilvl="0" w:tentative="0">
      <w:start w:val="4"/>
      <w:numFmt w:val="decimal"/>
      <w:lvlText w:val="%1."/>
      <w:lvlJc w:val="left"/>
      <w:pPr>
        <w:tabs>
          <w:tab w:val="left" w:pos="420"/>
        </w:tabs>
        <w:ind w:left="425" w:hanging="425"/>
      </w:pPr>
      <w:rPr>
        <w:rFonts w:hint="default"/>
      </w:rPr>
    </w:lvl>
  </w:abstractNum>
  <w:abstractNum w:abstractNumId="26">
    <w:nsid w:val="7863B03C"/>
    <w:multiLevelType w:val="singleLevel"/>
    <w:tmpl w:val="7863B03C"/>
    <w:lvl w:ilvl="0" w:tentative="0">
      <w:start w:val="1"/>
      <w:numFmt w:val="decimal"/>
      <w:lvlText w:val="(%1)"/>
      <w:lvlJc w:val="left"/>
      <w:pPr>
        <w:ind w:left="845" w:hanging="425"/>
      </w:pPr>
      <w:rPr>
        <w:rFonts w:hint="default"/>
      </w:rPr>
    </w:lvl>
  </w:abstractNum>
  <w:abstractNum w:abstractNumId="27">
    <w:nsid w:val="7B51DFD1"/>
    <w:multiLevelType w:val="singleLevel"/>
    <w:tmpl w:val="7B51DFD1"/>
    <w:lvl w:ilvl="0" w:tentative="0">
      <w:start w:val="1"/>
      <w:numFmt w:val="decimalEnclosedCircleChinese"/>
      <w:suff w:val="nothing"/>
      <w:lvlText w:val="%1　"/>
      <w:lvlJc w:val="left"/>
      <w:pPr>
        <w:ind w:left="0" w:firstLine="400"/>
      </w:pPr>
      <w:rPr>
        <w:rFonts w:hint="eastAsia"/>
      </w:rPr>
    </w:lvl>
  </w:abstractNum>
  <w:num w:numId="1">
    <w:abstractNumId w:val="9"/>
  </w:num>
  <w:num w:numId="2">
    <w:abstractNumId w:val="18"/>
  </w:num>
  <w:num w:numId="3">
    <w:abstractNumId w:val="6"/>
  </w:num>
  <w:num w:numId="4">
    <w:abstractNumId w:val="16"/>
  </w:num>
  <w:num w:numId="5">
    <w:abstractNumId w:val="21"/>
  </w:num>
  <w:num w:numId="6">
    <w:abstractNumId w:val="17"/>
  </w:num>
  <w:num w:numId="7">
    <w:abstractNumId w:val="23"/>
  </w:num>
  <w:num w:numId="8">
    <w:abstractNumId w:val="19"/>
  </w:num>
  <w:num w:numId="9">
    <w:abstractNumId w:val="7"/>
  </w:num>
  <w:num w:numId="10">
    <w:abstractNumId w:val="20"/>
  </w:num>
  <w:num w:numId="11">
    <w:abstractNumId w:val="0"/>
  </w:num>
  <w:num w:numId="12">
    <w:abstractNumId w:val="2"/>
  </w:num>
  <w:num w:numId="13">
    <w:abstractNumId w:val="5"/>
  </w:num>
  <w:num w:numId="14">
    <w:abstractNumId w:val="11"/>
  </w:num>
  <w:num w:numId="15">
    <w:abstractNumId w:val="3"/>
  </w:num>
  <w:num w:numId="16">
    <w:abstractNumId w:val="14"/>
  </w:num>
  <w:num w:numId="17">
    <w:abstractNumId w:val="13"/>
  </w:num>
  <w:num w:numId="18">
    <w:abstractNumId w:val="10"/>
  </w:num>
  <w:num w:numId="19">
    <w:abstractNumId w:val="24"/>
  </w:num>
  <w:num w:numId="20">
    <w:abstractNumId w:val="4"/>
  </w:num>
  <w:num w:numId="21">
    <w:abstractNumId w:val="26"/>
  </w:num>
  <w:num w:numId="22">
    <w:abstractNumId w:val="1"/>
  </w:num>
  <w:num w:numId="23">
    <w:abstractNumId w:val="8"/>
  </w:num>
  <w:num w:numId="24">
    <w:abstractNumId w:val="25"/>
  </w:num>
  <w:num w:numId="25">
    <w:abstractNumId w:val="15"/>
  </w:num>
  <w:num w:numId="26">
    <w:abstractNumId w:val="12"/>
  </w:num>
  <w:num w:numId="27">
    <w:abstractNumId w:val="2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AA4FE6"/>
    <w:rsid w:val="000400B7"/>
    <w:rsid w:val="00041DB2"/>
    <w:rsid w:val="000B1057"/>
    <w:rsid w:val="00151F72"/>
    <w:rsid w:val="00214A5D"/>
    <w:rsid w:val="00232352"/>
    <w:rsid w:val="002A0D29"/>
    <w:rsid w:val="002E102F"/>
    <w:rsid w:val="002E3082"/>
    <w:rsid w:val="00311760"/>
    <w:rsid w:val="00357377"/>
    <w:rsid w:val="00363E95"/>
    <w:rsid w:val="00375ACD"/>
    <w:rsid w:val="00453A29"/>
    <w:rsid w:val="0046549F"/>
    <w:rsid w:val="00536122"/>
    <w:rsid w:val="005568A4"/>
    <w:rsid w:val="005F1C2E"/>
    <w:rsid w:val="0063412D"/>
    <w:rsid w:val="006A75F7"/>
    <w:rsid w:val="006B417B"/>
    <w:rsid w:val="006E7495"/>
    <w:rsid w:val="006E7937"/>
    <w:rsid w:val="006F3A41"/>
    <w:rsid w:val="00714A34"/>
    <w:rsid w:val="007652F9"/>
    <w:rsid w:val="007940AB"/>
    <w:rsid w:val="00851DCC"/>
    <w:rsid w:val="008C5E60"/>
    <w:rsid w:val="008C7BBB"/>
    <w:rsid w:val="00953E54"/>
    <w:rsid w:val="009B773F"/>
    <w:rsid w:val="00A65EB4"/>
    <w:rsid w:val="00AA4FE6"/>
    <w:rsid w:val="00AD3298"/>
    <w:rsid w:val="00AD589E"/>
    <w:rsid w:val="00B47A0E"/>
    <w:rsid w:val="00B8590C"/>
    <w:rsid w:val="00BE5D8A"/>
    <w:rsid w:val="00BE70F5"/>
    <w:rsid w:val="00C21383"/>
    <w:rsid w:val="00D05A1C"/>
    <w:rsid w:val="00D25BEB"/>
    <w:rsid w:val="00D62CA5"/>
    <w:rsid w:val="00D96B3A"/>
    <w:rsid w:val="00E00270"/>
    <w:rsid w:val="00E00B29"/>
    <w:rsid w:val="00E111FB"/>
    <w:rsid w:val="00E77F7B"/>
    <w:rsid w:val="00EB7B27"/>
    <w:rsid w:val="00F04BEB"/>
    <w:rsid w:val="00F719C4"/>
    <w:rsid w:val="00FB3286"/>
    <w:rsid w:val="022C2139"/>
    <w:rsid w:val="02B2797C"/>
    <w:rsid w:val="02B40E52"/>
    <w:rsid w:val="036B0BF8"/>
    <w:rsid w:val="03725764"/>
    <w:rsid w:val="060C6F5C"/>
    <w:rsid w:val="06DB38D1"/>
    <w:rsid w:val="07C657F5"/>
    <w:rsid w:val="09595B1A"/>
    <w:rsid w:val="10A6639F"/>
    <w:rsid w:val="14D91B4A"/>
    <w:rsid w:val="16034C7E"/>
    <w:rsid w:val="17610663"/>
    <w:rsid w:val="194D578A"/>
    <w:rsid w:val="1EBD5451"/>
    <w:rsid w:val="1FA73BDA"/>
    <w:rsid w:val="240D68BC"/>
    <w:rsid w:val="252A5A05"/>
    <w:rsid w:val="25E46AA9"/>
    <w:rsid w:val="28F93F5F"/>
    <w:rsid w:val="29493649"/>
    <w:rsid w:val="29845FA6"/>
    <w:rsid w:val="2E643FB2"/>
    <w:rsid w:val="304F6E6F"/>
    <w:rsid w:val="320C0D62"/>
    <w:rsid w:val="32D07F27"/>
    <w:rsid w:val="33D02985"/>
    <w:rsid w:val="349779D8"/>
    <w:rsid w:val="354B2499"/>
    <w:rsid w:val="37A111BE"/>
    <w:rsid w:val="3A70413F"/>
    <w:rsid w:val="3D4758A5"/>
    <w:rsid w:val="3E6842C3"/>
    <w:rsid w:val="40191337"/>
    <w:rsid w:val="41EA3241"/>
    <w:rsid w:val="444F7F11"/>
    <w:rsid w:val="4670373A"/>
    <w:rsid w:val="467847E6"/>
    <w:rsid w:val="47A30116"/>
    <w:rsid w:val="492C2DC6"/>
    <w:rsid w:val="4A82116F"/>
    <w:rsid w:val="4AAD7534"/>
    <w:rsid w:val="4C1778C8"/>
    <w:rsid w:val="50E11286"/>
    <w:rsid w:val="51156C3B"/>
    <w:rsid w:val="52AA7FC3"/>
    <w:rsid w:val="54F319BA"/>
    <w:rsid w:val="55312D0D"/>
    <w:rsid w:val="55322ADD"/>
    <w:rsid w:val="5552550A"/>
    <w:rsid w:val="567967FD"/>
    <w:rsid w:val="57702001"/>
    <w:rsid w:val="59D065F3"/>
    <w:rsid w:val="5CE83913"/>
    <w:rsid w:val="5D3F3618"/>
    <w:rsid w:val="5F6B2508"/>
    <w:rsid w:val="64967C44"/>
    <w:rsid w:val="66FA324D"/>
    <w:rsid w:val="69C566B8"/>
    <w:rsid w:val="6BB12FAA"/>
    <w:rsid w:val="6EFA4222"/>
    <w:rsid w:val="75ED1E64"/>
    <w:rsid w:val="7B3F45C1"/>
    <w:rsid w:val="7D06612B"/>
    <w:rsid w:val="7D975F45"/>
    <w:rsid w:val="7F9E0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15"/>
    <w:qFormat/>
    <w:uiPriority w:val="0"/>
    <w:pPr>
      <w:keepNext/>
      <w:keepLines/>
      <w:spacing w:before="340" w:after="330" w:line="576" w:lineRule="auto"/>
      <w:outlineLvl w:val="0"/>
    </w:pPr>
    <w:rPr>
      <w:b/>
      <w:kern w:val="44"/>
      <w:sz w:val="44"/>
    </w:rPr>
  </w:style>
  <w:style w:type="paragraph" w:styleId="5">
    <w:name w:val="heading 2"/>
    <w:basedOn w:val="1"/>
    <w:next w:val="1"/>
    <w:link w:val="2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6">
    <w:name w:val="Plain Text"/>
    <w:basedOn w:val="1"/>
    <w:link w:val="16"/>
    <w:qFormat/>
    <w:uiPriority w:val="0"/>
    <w:rPr>
      <w:rFonts w:ascii="宋体" w:hAnsi="Courier New"/>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page number"/>
    <w:basedOn w:val="11"/>
    <w:qFormat/>
    <w:uiPriority w:val="0"/>
  </w:style>
  <w:style w:type="character" w:styleId="14">
    <w:name w:val="Hyperlink"/>
    <w:semiHidden/>
    <w:qFormat/>
    <w:uiPriority w:val="99"/>
    <w:rPr>
      <w:rFonts w:cs="Times New Roman"/>
      <w:color w:val="1F4F88"/>
      <w:u w:val="none"/>
    </w:rPr>
  </w:style>
  <w:style w:type="character" w:customStyle="1" w:styleId="15">
    <w:name w:val="标题 1 字符"/>
    <w:basedOn w:val="11"/>
    <w:link w:val="4"/>
    <w:qFormat/>
    <w:uiPriority w:val="0"/>
    <w:rPr>
      <w:rFonts w:ascii="Times New Roman" w:hAnsi="Times New Roman" w:eastAsia="宋体" w:cs="Times New Roman"/>
      <w:b/>
      <w:kern w:val="44"/>
      <w:sz w:val="44"/>
      <w:szCs w:val="20"/>
      <w14:ligatures w14:val="none"/>
    </w:rPr>
  </w:style>
  <w:style w:type="character" w:customStyle="1" w:styleId="16">
    <w:name w:val="纯文本 字符"/>
    <w:basedOn w:val="11"/>
    <w:link w:val="6"/>
    <w:qFormat/>
    <w:uiPriority w:val="0"/>
    <w:rPr>
      <w:rFonts w:ascii="宋体" w:hAnsi="Courier New" w:eastAsia="宋体" w:cs="Times New Roman"/>
      <w:szCs w:val="20"/>
      <w14:ligatures w14:val="none"/>
    </w:rPr>
  </w:style>
  <w:style w:type="character" w:customStyle="1" w:styleId="17">
    <w:name w:val="页脚 字符"/>
    <w:basedOn w:val="11"/>
    <w:link w:val="7"/>
    <w:qFormat/>
    <w:uiPriority w:val="99"/>
    <w:rPr>
      <w:rFonts w:ascii="Times New Roman" w:hAnsi="Times New Roman" w:eastAsia="宋体" w:cs="Times New Roman"/>
      <w:sz w:val="18"/>
      <w:szCs w:val="18"/>
      <w14:ligatures w14:val="none"/>
    </w:rPr>
  </w:style>
  <w:style w:type="character" w:customStyle="1" w:styleId="18">
    <w:name w:val="页眉 字符"/>
    <w:basedOn w:val="11"/>
    <w:link w:val="8"/>
    <w:qFormat/>
    <w:uiPriority w:val="99"/>
    <w:rPr>
      <w:rFonts w:ascii="Times New Roman" w:hAnsi="Times New Roman" w:eastAsia="宋体" w:cs="Times New Roman"/>
      <w:sz w:val="18"/>
      <w:szCs w:val="18"/>
      <w14:ligatures w14:val="none"/>
    </w:rPr>
  </w:style>
  <w:style w:type="paragraph" w:customStyle="1" w:styleId="19">
    <w:name w:val="列出段落1"/>
    <w:basedOn w:val="1"/>
    <w:qFormat/>
    <w:uiPriority w:val="34"/>
    <w:pPr>
      <w:ind w:firstLine="420" w:firstLineChars="200"/>
    </w:pPr>
    <w:rPr>
      <w:rFonts w:ascii="Calibri" w:hAnsi="Calibri"/>
      <w:szCs w:val="22"/>
    </w:rPr>
  </w:style>
  <w:style w:type="paragraph" w:customStyle="1" w:styleId="20">
    <w:name w:val="文档正文一级标题"/>
    <w:basedOn w:val="21"/>
    <w:qFormat/>
    <w:uiPriority w:val="0"/>
    <w:pPr>
      <w:numPr>
        <w:ilvl w:val="0"/>
        <w:numId w:val="1"/>
      </w:numPr>
      <w:ind w:firstLine="0" w:firstLineChars="0"/>
    </w:pPr>
  </w:style>
  <w:style w:type="paragraph" w:customStyle="1" w:styleId="21">
    <w:name w:val="文档正文-1"/>
    <w:basedOn w:val="1"/>
    <w:qFormat/>
    <w:uiPriority w:val="0"/>
    <w:pPr>
      <w:spacing w:line="360" w:lineRule="auto"/>
      <w:ind w:firstLine="200" w:firstLineChars="200"/>
    </w:pPr>
    <w:rPr>
      <w:sz w:val="24"/>
      <w:szCs w:val="22"/>
    </w:rPr>
  </w:style>
  <w:style w:type="paragraph" w:customStyle="1" w:styleId="22">
    <w:name w:val="文档标题2"/>
    <w:basedOn w:val="5"/>
    <w:next w:val="21"/>
    <w:qFormat/>
    <w:uiPriority w:val="0"/>
    <w:pPr>
      <w:numPr>
        <w:ilvl w:val="1"/>
        <w:numId w:val="2"/>
      </w:numPr>
      <w:spacing w:before="0" w:after="0" w:line="360" w:lineRule="auto"/>
      <w:ind w:left="0"/>
      <w:jc w:val="left"/>
    </w:pPr>
    <w:rPr>
      <w:rFonts w:ascii="Times New Roman" w:hAnsi="Times New Roman" w:eastAsia="宋体" w:cs="Times New Roman"/>
      <w:sz w:val="28"/>
    </w:rPr>
  </w:style>
  <w:style w:type="character" w:customStyle="1" w:styleId="23">
    <w:name w:val="标题 2 字符"/>
    <w:basedOn w:val="11"/>
    <w:link w:val="5"/>
    <w:semiHidden/>
    <w:qFormat/>
    <w:uiPriority w:val="9"/>
    <w:rPr>
      <w:rFonts w:asciiTheme="majorHAnsi" w:hAnsiTheme="majorHAnsi" w:eastAsiaTheme="majorEastAsia" w:cstheme="majorBidi"/>
      <w:b/>
      <w:bCs/>
      <w:sz w:val="32"/>
      <w:szCs w:val="32"/>
      <w14:ligatures w14:val="none"/>
    </w:rPr>
  </w:style>
  <w:style w:type="paragraph" w:customStyle="1" w:styleId="2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2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10635</Words>
  <Characters>10906</Characters>
  <Lines>758</Lines>
  <Paragraphs>557</Paragraphs>
  <TotalTime>40</TotalTime>
  <ScaleCrop>false</ScaleCrop>
  <LinksUpToDate>false</LinksUpToDate>
  <CharactersWithSpaces>11381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2023-12-25T01:04:00Z</dcterms:created>
  <dc:creator>闫旭</dc:creator>
  <cp:lastModifiedBy>紫菀</cp:lastModifiedBy>
  <dcterms:modified xsi:type="dcterms:W3CDTF">2025-09-03T01:07:57Z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00E1796A846D4DA0BEC5042526FE4132</vt:lpwstr>
  </property>
  <property fmtid="{D5CDD505-2E9C-101B-9397-08002B2CF9AE}" pid="4" name="KSOTemplateDocerSaveRecord">
    <vt:lpwstr>eyJoZGlkIjoiODYzOGRlN2YxNjMzNjRiYzU4MWI2NTQwZDkzZTZlN2QiLCJ1c2VySWQiOiI2NjY1NDg4ODkifQ==</vt:lpwstr>
  </property>
</Properties>
</file>